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tblpY="-1200"/>
        <w:tblW w:w="4930" w:type="pct"/>
        <w:tblCellMar>
          <w:left w:w="0" w:type="dxa"/>
          <w:right w:w="0" w:type="dxa"/>
        </w:tblCellMar>
        <w:tblLook w:val="04A0" w:firstRow="1" w:lastRow="0" w:firstColumn="1" w:lastColumn="0" w:noHBand="0" w:noVBand="1"/>
        <w:tblDescription w:val="Company information and logo"/>
      </w:tblPr>
      <w:tblGrid>
        <w:gridCol w:w="3788"/>
        <w:gridCol w:w="6861"/>
      </w:tblGrid>
      <w:tr w:rsidR="00426F26" w14:paraId="425ECC1E" w14:textId="77777777" w:rsidTr="009B31BF">
        <w:trPr>
          <w:trHeight w:val="1318"/>
        </w:trPr>
        <w:tc>
          <w:tcPr>
            <w:tcW w:w="3788" w:type="dxa"/>
            <w:vAlign w:val="center"/>
          </w:tcPr>
          <w:p w14:paraId="1CE7044C" w14:textId="77777777" w:rsidR="00426F26" w:rsidRDefault="00E06A99" w:rsidP="009B31BF">
            <w:pPr>
              <w:spacing w:after="0" w:line="240" w:lineRule="auto"/>
            </w:pPr>
            <w:r w:rsidRPr="002C6ACA">
              <w:rPr>
                <w:b/>
                <w:noProof/>
                <w:lang w:eastAsia="en-GB"/>
              </w:rPr>
              <w:drawing>
                <wp:inline distT="0" distB="0" distL="0" distR="0" wp14:anchorId="59EFE84D" wp14:editId="63AFB7E0">
                  <wp:extent cx="2270760" cy="455295"/>
                  <wp:effectExtent l="0" t="0" r="0" b="1905"/>
                  <wp:docPr id="3" name="Picture 3" descr="Cycling-Scotland-Gree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ycling-Scotland-Green-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0760" cy="455295"/>
                          </a:xfrm>
                          <a:prstGeom prst="rect">
                            <a:avLst/>
                          </a:prstGeom>
                          <a:noFill/>
                          <a:ln>
                            <a:noFill/>
                          </a:ln>
                        </pic:spPr>
                      </pic:pic>
                    </a:graphicData>
                  </a:graphic>
                </wp:inline>
              </w:drawing>
            </w:r>
          </w:p>
        </w:tc>
        <w:tc>
          <w:tcPr>
            <w:tcW w:w="6861" w:type="dxa"/>
            <w:vAlign w:val="center"/>
          </w:tcPr>
          <w:p w14:paraId="659C8C35" w14:textId="77777777" w:rsidR="00426F26" w:rsidRDefault="00426F26" w:rsidP="009B31BF">
            <w:pPr>
              <w:pStyle w:val="Heading4"/>
            </w:pPr>
          </w:p>
          <w:p w14:paraId="41BBBAB9" w14:textId="77777777" w:rsidR="00426F26" w:rsidRDefault="00426F26" w:rsidP="009B31BF">
            <w:pPr>
              <w:pStyle w:val="Heading4"/>
            </w:pPr>
          </w:p>
          <w:p w14:paraId="59F73382" w14:textId="77777777" w:rsidR="00426F26" w:rsidRDefault="004B5C3D" w:rsidP="009B31BF">
            <w:pPr>
              <w:pStyle w:val="Heading4"/>
            </w:pPr>
            <w:r>
              <w:t xml:space="preserve">24 </w:t>
            </w:r>
            <w:proofErr w:type="spellStart"/>
            <w:r>
              <w:t>Blythswood</w:t>
            </w:r>
            <w:proofErr w:type="spellEnd"/>
            <w:r>
              <w:t xml:space="preserve"> Square</w:t>
            </w:r>
          </w:p>
          <w:p w14:paraId="7B7FD611" w14:textId="77777777" w:rsidR="00426F26" w:rsidRDefault="004B5C3D" w:rsidP="009B31BF">
            <w:pPr>
              <w:pStyle w:val="Heading4"/>
            </w:pPr>
            <w:r>
              <w:t>Glasgow, G2 4BG</w:t>
            </w:r>
          </w:p>
          <w:p w14:paraId="72445431" w14:textId="77777777" w:rsidR="00426F26" w:rsidRDefault="004B5C3D" w:rsidP="009B31BF">
            <w:pPr>
              <w:pStyle w:val="Heading4"/>
            </w:pPr>
            <w:r>
              <w:t>0141 229 5350</w:t>
            </w:r>
          </w:p>
        </w:tc>
      </w:tr>
    </w:tbl>
    <w:p w14:paraId="49C97F87" w14:textId="2293B550" w:rsidR="00426F26" w:rsidRDefault="00643E1C">
      <w:pPr>
        <w:pStyle w:val="Heading1"/>
      </w:pPr>
      <w:r>
        <w:t>National Monitoring Framework</w:t>
      </w:r>
      <w:r w:rsidR="005031FF">
        <w:t xml:space="preserve"> – Expression of Interest</w:t>
      </w:r>
    </w:p>
    <w:p w14:paraId="527B2C68" w14:textId="40F86525" w:rsidR="00F7469C" w:rsidRPr="00F7469C" w:rsidRDefault="00F7469C" w:rsidP="00F7469C">
      <w:pPr>
        <w:ind w:left="360"/>
        <w:rPr>
          <w:b/>
        </w:rPr>
      </w:pPr>
      <w:r w:rsidRPr="00F7469C">
        <w:rPr>
          <w:b/>
        </w:rPr>
        <w:t>The National Monitoring Framework</w:t>
      </w:r>
    </w:p>
    <w:p w14:paraId="1E22DAAD" w14:textId="4BB9ADE5" w:rsidR="00F7469C" w:rsidRDefault="005031FF" w:rsidP="00F7469C">
      <w:pPr>
        <w:ind w:left="360"/>
      </w:pPr>
      <w:r>
        <w:t xml:space="preserve">Cycling Scotland is embarking on </w:t>
      </w:r>
      <w:r w:rsidR="00D050E0">
        <w:t xml:space="preserve">the </w:t>
      </w:r>
      <w:r w:rsidR="00BC0EDE">
        <w:t>third</w:t>
      </w:r>
      <w:r w:rsidR="00D050E0">
        <w:t xml:space="preserve"> phase of </w:t>
      </w:r>
      <w:r>
        <w:t xml:space="preserve">an ambitious project to deliver a Scotland-wide </w:t>
      </w:r>
      <w:r w:rsidR="00E43304">
        <w:t>a</w:t>
      </w:r>
      <w:r>
        <w:t xml:space="preserve">pproach to monitoring </w:t>
      </w:r>
      <w:r w:rsidR="001C36C6">
        <w:t xml:space="preserve">cycling </w:t>
      </w:r>
      <w:r w:rsidRPr="00643E1C">
        <w:t>modal share</w:t>
      </w:r>
      <w:r w:rsidR="004F7358">
        <w:t xml:space="preserve"> with an open-data ethos</w:t>
      </w:r>
      <w:r w:rsidR="001C36C6" w:rsidRPr="00643E1C">
        <w:t>, complementing existing monitoring schemes</w:t>
      </w:r>
      <w:r w:rsidR="00F7469C">
        <w:t xml:space="preserve"> </w:t>
      </w:r>
      <w:r w:rsidR="00794B67">
        <w:t>to create a</w:t>
      </w:r>
      <w:r w:rsidR="00F7469C">
        <w:t xml:space="preserve"> National Monitoring Framework</w:t>
      </w:r>
      <w:r w:rsidRPr="00643E1C">
        <w:t xml:space="preserve">. </w:t>
      </w:r>
      <w:bookmarkStart w:id="0" w:name="_GoBack"/>
      <w:bookmarkEnd w:id="0"/>
    </w:p>
    <w:p w14:paraId="522E35B5" w14:textId="639150F2" w:rsidR="005031FF" w:rsidRDefault="00F7469C" w:rsidP="005031FF">
      <w:pPr>
        <w:ind w:left="360"/>
      </w:pPr>
      <w:r>
        <w:t xml:space="preserve">This second round of the National Monitoring Framework continues to focus </w:t>
      </w:r>
      <w:r w:rsidR="00393764" w:rsidRPr="00643E1C">
        <w:t>specifically</w:t>
      </w:r>
      <w:r w:rsidR="005031FF" w:rsidRPr="00643E1C">
        <w:t xml:space="preserve"> on </w:t>
      </w:r>
      <w:r w:rsidR="001C36C6" w:rsidRPr="00643E1C">
        <w:t xml:space="preserve">progress towards </w:t>
      </w:r>
      <w:r w:rsidR="005031FF" w:rsidRPr="00643E1C">
        <w:t>the</w:t>
      </w:r>
      <w:r w:rsidR="00393764" w:rsidRPr="00643E1C">
        <w:t xml:space="preserve"> 10%</w:t>
      </w:r>
      <w:r w:rsidR="005031FF" w:rsidRPr="00643E1C">
        <w:t xml:space="preserve"> vision of the Cycl</w:t>
      </w:r>
      <w:r w:rsidR="00E43304">
        <w:t>ing</w:t>
      </w:r>
      <w:r w:rsidR="005031FF" w:rsidRPr="00643E1C">
        <w:t xml:space="preserve"> Action Plan for Scotland</w:t>
      </w:r>
      <w:r w:rsidR="00393764" w:rsidRPr="00643E1C">
        <w:t>,</w:t>
      </w:r>
      <w:r w:rsidR="005031FF" w:rsidRPr="00643E1C">
        <w:t xml:space="preserve"> </w:t>
      </w:r>
      <w:r>
        <w:t xml:space="preserve">and </w:t>
      </w:r>
      <w:r w:rsidR="00E43304">
        <w:t xml:space="preserve">Cycling Scotland </w:t>
      </w:r>
      <w:r>
        <w:t xml:space="preserve">are </w:t>
      </w:r>
      <w:r w:rsidR="005031FF" w:rsidRPr="00643E1C">
        <w:t>s</w:t>
      </w:r>
      <w:r>
        <w:t>eeking partners to broaden th</w:t>
      </w:r>
      <w:r w:rsidR="00E43304">
        <w:t>e</w:t>
      </w:r>
      <w:r w:rsidR="005031FF" w:rsidRPr="00643E1C">
        <w:t xml:space="preserve"> establishment of </w:t>
      </w:r>
      <w:r w:rsidR="00E43304">
        <w:t>this</w:t>
      </w:r>
      <w:r w:rsidR="005031FF" w:rsidRPr="00643E1C">
        <w:t xml:space="preserve"> </w:t>
      </w:r>
      <w:r>
        <w:t xml:space="preserve">system with benchmark </w:t>
      </w:r>
      <w:r w:rsidR="005031FF" w:rsidRPr="00643E1C">
        <w:t>settlements in Scotland</w:t>
      </w:r>
      <w:r>
        <w:t>,</w:t>
      </w:r>
      <w:r w:rsidR="005031FF" w:rsidRPr="00643E1C">
        <w:t xml:space="preserve"> </w:t>
      </w:r>
      <w:r>
        <w:t>creating</w:t>
      </w:r>
      <w:r w:rsidR="005031FF" w:rsidRPr="00643E1C">
        <w:t xml:space="preserve"> a </w:t>
      </w:r>
      <w:r w:rsidR="00DA1F59" w:rsidRPr="00643E1C">
        <w:t>long-term</w:t>
      </w:r>
      <w:r w:rsidR="005031FF" w:rsidRPr="00643E1C">
        <w:t xml:space="preserve"> monitoring system.</w:t>
      </w:r>
      <w:r w:rsidR="00B06F71">
        <w:rPr>
          <w:rStyle w:val="FootnoteReference"/>
        </w:rPr>
        <w:footnoteReference w:id="1"/>
      </w:r>
      <w:r w:rsidR="005031FF" w:rsidRPr="00643E1C">
        <w:t xml:space="preserve"> </w:t>
      </w:r>
    </w:p>
    <w:p w14:paraId="6FBC3A07" w14:textId="34CE2CDB" w:rsidR="00F7469C" w:rsidRPr="00F7469C" w:rsidRDefault="00F7469C" w:rsidP="005031FF">
      <w:pPr>
        <w:ind w:left="360"/>
        <w:rPr>
          <w:b/>
        </w:rPr>
      </w:pPr>
      <w:r w:rsidRPr="00F7469C">
        <w:rPr>
          <w:b/>
        </w:rPr>
        <w:t xml:space="preserve">Why are we doing this? </w:t>
      </w:r>
    </w:p>
    <w:p w14:paraId="21EF5049" w14:textId="15A1ACA1" w:rsidR="00D050E0" w:rsidRPr="00643E1C" w:rsidRDefault="00B06F71" w:rsidP="00794B67">
      <w:pPr>
        <w:ind w:left="360" w:right="1019"/>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A589A">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CAPS Delivery Forum agreed </w:t>
      </w:r>
      <w:r w:rsidRPr="00CA589A">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suite of national indicators to inform the national picture of cycling participation, </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as per </w:t>
      </w:r>
      <w:r w:rsidRPr="00CA589A">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2017 Cycling Action Pla</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 for Scotland (CAPS) Action 18. </w:t>
      </w:r>
      <w:r w:rsidRPr="00CA589A">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agreed </w:t>
      </w:r>
      <w:r w:rsidRPr="00CA589A">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Indicators </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include</w:t>
      </w:r>
      <w:r w:rsidRPr="00CA589A">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7 </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local/regional/city </w:t>
      </w:r>
      <w:r w:rsidRPr="00CA589A">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indicators </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w:t>
      </w:r>
      <w:r w:rsidRPr="00CA589A">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ensure that city, regional and local data is captured on a consistent basis to objectively measure progress against the 10% vision across Scotland</w:t>
      </w:r>
      <w:r>
        <w:rPr>
          <w:rStyle w:val="FootnoteReferenc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ootnoteReference w:id="2"/>
      </w:r>
      <w:r w:rsidRPr="00CA589A">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43E1C" w:rsidRPr="00643E1C">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031FF" w:rsidRPr="00643E1C">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t>
      </w:r>
      <w:r w:rsidR="00393764" w:rsidRPr="00643E1C">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ambition </w:t>
      </w:r>
      <w:r w:rsidR="00643E1C" w:rsidRPr="00643E1C">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of this project </w:t>
      </w:r>
      <w:r w:rsidR="005031FF" w:rsidRPr="00643E1C">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is that, by 2020, all settlements across Scotland with </w:t>
      </w:r>
      <w:r w:rsidR="00E43304">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near to </w:t>
      </w:r>
      <w:r w:rsidR="005031FF" w:rsidRPr="00643E1C">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10,000 population</w:t>
      </w:r>
      <w:r w:rsidR="00DA1F59" w:rsidRPr="00643E1C">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43E1C" w:rsidRPr="00643E1C">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DA1F59" w:rsidRPr="00643E1C">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 above</w:t>
      </w:r>
      <w:r w:rsidR="00643E1C" w:rsidRPr="00643E1C">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5031FF" w:rsidRPr="00643E1C">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will have strategic monitoring system in place to provide data on the progress towards the 10% shared vision.</w:t>
      </w:r>
      <w:r w:rsidR="00EF4326">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 data collected through the NMF would be available in an open data format for all partners and ideally for the public and key stakeholders.</w:t>
      </w:r>
      <w:r w:rsidR="005031FF" w:rsidRPr="00643E1C">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00E43304">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Although ideally looking at larger settlements across Scotland,</w:t>
      </w:r>
      <w:r w:rsidRPr="00B06F71">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complementing the work of </w:t>
      </w:r>
      <w:proofErr w:type="spellStart"/>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Sustrans</w:t>
      </w:r>
      <w:proofErr w:type="spellEnd"/>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the seven cities, on the NCN and for Community Links,</w:t>
      </w:r>
      <w:r w:rsidR="00E43304">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Cycling Scotland would encourage any benchmark settlement in Scotland to be proposed by a local authority, RTP or other partner for potential inclusion.</w:t>
      </w:r>
    </w:p>
    <w:p w14:paraId="1904487E" w14:textId="2D1BF901" w:rsidR="00E06A99" w:rsidRDefault="00B77E63" w:rsidP="00115EDD">
      <w:pPr>
        <w:ind w:left="360" w:right="1019"/>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43E1C">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00E43304">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set of Frequently Asked Questions (FAQ)</w:t>
      </w:r>
      <w:r w:rsidRPr="00643E1C">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is provided in an appendix at the end of this document.</w:t>
      </w:r>
    </w:p>
    <w:p w14:paraId="4A6A5E62" w14:textId="5E4CF307" w:rsidR="00B06F71" w:rsidRPr="00643E1C" w:rsidRDefault="00B06F71" w:rsidP="00115EDD">
      <w:pPr>
        <w:ind w:left="360" w:right="1019"/>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45DCD22" w14:textId="7A944257" w:rsidR="00426F26" w:rsidRDefault="005031FF">
      <w:pPr>
        <w:pStyle w:val="Heading2"/>
      </w:pPr>
      <w:r>
        <w:lastRenderedPageBreak/>
        <w:t>Local Authority</w:t>
      </w:r>
      <w:r w:rsidR="00643E1C">
        <w:t>/</w:t>
      </w:r>
      <w:r w:rsidR="00E43304">
        <w:t>RTP/</w:t>
      </w:r>
      <w:r w:rsidR="00643E1C">
        <w:t>Main Contact</w:t>
      </w:r>
      <w:r>
        <w:t xml:space="preserve"> Information</w:t>
      </w:r>
    </w:p>
    <w:p w14:paraId="2D937682" w14:textId="77777777" w:rsidR="00426F26" w:rsidRDefault="005031FF">
      <w:pPr>
        <w:pStyle w:val="Heading3"/>
      </w:pPr>
      <w:r>
        <w:t>Primary Contact Details</w:t>
      </w:r>
    </w:p>
    <w:p w14:paraId="0D3614F3" w14:textId="3B232D74" w:rsidR="005031FF" w:rsidRDefault="005031FF" w:rsidP="005031FF">
      <w:r>
        <w:t>Name</w:t>
      </w:r>
    </w:p>
    <w:p w14:paraId="4F939BDF" w14:textId="4D175E56" w:rsidR="00E43304" w:rsidRDefault="00E43304" w:rsidP="005031FF">
      <w:r>
        <w:t>Position</w:t>
      </w:r>
    </w:p>
    <w:p w14:paraId="6ECE58D6" w14:textId="77777777" w:rsidR="005031FF" w:rsidRDefault="005031FF" w:rsidP="005031FF">
      <w:r>
        <w:t>Email</w:t>
      </w:r>
    </w:p>
    <w:p w14:paraId="254E917F" w14:textId="64684467" w:rsidR="00426F26" w:rsidRDefault="005031FF" w:rsidP="00115EDD">
      <w:r>
        <w:t>Phone</w:t>
      </w:r>
      <w:r w:rsidR="00B51C6A">
        <w:t xml:space="preserve"> </w:t>
      </w:r>
    </w:p>
    <w:p w14:paraId="06208B22" w14:textId="3E8957D2" w:rsidR="00E43304" w:rsidRDefault="00A456F4" w:rsidP="00A456F4">
      <w:r>
        <w:t>Location</w:t>
      </w:r>
    </w:p>
    <w:p w14:paraId="39E6522A" w14:textId="77777777" w:rsidR="00643E1C" w:rsidRDefault="00643E1C" w:rsidP="00643E1C">
      <w:pPr>
        <w:pStyle w:val="Heading3"/>
      </w:pPr>
      <w:r>
        <w:t>Do you currently have an Active Travel / Cycling Strategy?</w:t>
      </w:r>
    </w:p>
    <w:p w14:paraId="53EAF1B8" w14:textId="0F89B49D" w:rsidR="00643E1C" w:rsidRDefault="00BC0EDE" w:rsidP="00643E1C">
      <w:pPr>
        <w:pStyle w:val="Multiplechoice3"/>
      </w:pPr>
      <w:sdt>
        <w:sdtPr>
          <w:id w:val="-816023662"/>
          <w15:appearance w15:val="hidden"/>
          <w14:checkbox>
            <w14:checked w14:val="0"/>
            <w14:checkedState w14:val="00FE" w14:font="Wingdings"/>
            <w14:uncheckedState w14:val="00A8" w14:font="Wingdings"/>
          </w14:checkbox>
        </w:sdtPr>
        <w:sdtEndPr/>
        <w:sdtContent>
          <w:r w:rsidR="00643E1C">
            <w:sym w:font="Wingdings" w:char="F0A8"/>
          </w:r>
        </w:sdtContent>
      </w:sdt>
      <w:r w:rsidR="00643E1C">
        <w:t xml:space="preserve"> Yes – Please provide hyperlink</w:t>
      </w:r>
      <w:r w:rsidR="00E43304">
        <w:t>:</w:t>
      </w:r>
    </w:p>
    <w:p w14:paraId="47A04108" w14:textId="7747FF39" w:rsidR="00643E1C" w:rsidRDefault="00BC0EDE" w:rsidP="00643E1C">
      <w:pPr>
        <w:pStyle w:val="Multiplechoice4"/>
      </w:pPr>
      <w:sdt>
        <w:sdtPr>
          <w:id w:val="-388034014"/>
          <w15:appearance w15:val="hidden"/>
          <w14:checkbox>
            <w14:checked w14:val="0"/>
            <w14:checkedState w14:val="00FE" w14:font="Wingdings"/>
            <w14:uncheckedState w14:val="00A8" w14:font="Wingdings"/>
          </w14:checkbox>
        </w:sdtPr>
        <w:sdtEndPr/>
        <w:sdtContent>
          <w:r w:rsidR="00643E1C">
            <w:sym w:font="Wingdings" w:char="F0A8"/>
          </w:r>
        </w:sdtContent>
      </w:sdt>
      <w:r w:rsidR="00643E1C">
        <w:t xml:space="preserve"> No</w:t>
      </w:r>
    </w:p>
    <w:p w14:paraId="5230842F" w14:textId="6C6905D3" w:rsidR="00632C6E" w:rsidRPr="001D7937" w:rsidRDefault="00632C6E" w:rsidP="00632C6E">
      <w:pPr>
        <w:pStyle w:val="Heading3"/>
        <w:rPr>
          <w:sz w:val="22"/>
        </w:rPr>
      </w:pPr>
      <w:r>
        <w:t>G</w:t>
      </w:r>
      <w:r w:rsidR="00E43304">
        <w:t xml:space="preserve">eographical </w:t>
      </w:r>
      <w:r>
        <w:t>I</w:t>
      </w:r>
      <w:r w:rsidR="00E43304">
        <w:t xml:space="preserve">nformation </w:t>
      </w:r>
      <w:r>
        <w:t>S</w:t>
      </w:r>
      <w:r w:rsidR="00E43304">
        <w:t>ystems (GIS)</w:t>
      </w:r>
      <w:r>
        <w:t xml:space="preserve"> Contact Details</w:t>
      </w:r>
      <w:r w:rsidR="00393764">
        <w:t xml:space="preserve"> </w:t>
      </w:r>
      <w:r w:rsidR="00700159" w:rsidRPr="001D7937">
        <w:rPr>
          <w:sz w:val="22"/>
        </w:rPr>
        <w:t>(Can be provided later where appropriate)</w:t>
      </w:r>
    </w:p>
    <w:p w14:paraId="2A4BF11E" w14:textId="77777777" w:rsidR="00632C6E" w:rsidRDefault="00632C6E" w:rsidP="00632C6E">
      <w:r>
        <w:t>Name</w:t>
      </w:r>
    </w:p>
    <w:p w14:paraId="3E6DD0E8" w14:textId="787C295B" w:rsidR="00632C6E" w:rsidRDefault="007029E7" w:rsidP="00632C6E">
      <w:r>
        <w:t>Email</w:t>
      </w:r>
    </w:p>
    <w:p w14:paraId="15F4394A" w14:textId="77777777" w:rsidR="00632C6E" w:rsidRPr="005031FF" w:rsidRDefault="00632C6E" w:rsidP="00632C6E">
      <w:r>
        <w:t>Phone</w:t>
      </w:r>
    </w:p>
    <w:p w14:paraId="3C39C60A" w14:textId="77777777" w:rsidR="00115EDD" w:rsidRDefault="00E43304" w:rsidP="00643E1C">
      <w:pPr>
        <w:pStyle w:val="Multiplechoice4"/>
      </w:pPr>
      <w:r>
        <w:t>Address</w:t>
      </w:r>
    </w:p>
    <w:p w14:paraId="0B32E3F8" w14:textId="77777777" w:rsidR="00115EDD" w:rsidRDefault="00115EDD" w:rsidP="00643E1C">
      <w:pPr>
        <w:pStyle w:val="Multiplechoice4"/>
      </w:pPr>
    </w:p>
    <w:p w14:paraId="07452217" w14:textId="01B8C689" w:rsidR="00115EDD" w:rsidRPr="001D7937" w:rsidRDefault="00115EDD" w:rsidP="00115EDD">
      <w:pPr>
        <w:pStyle w:val="Heading3"/>
        <w:rPr>
          <w:sz w:val="22"/>
        </w:rPr>
      </w:pPr>
      <w:r>
        <w:t xml:space="preserve">Roads Contact </w:t>
      </w:r>
    </w:p>
    <w:p w14:paraId="02398049" w14:textId="77777777" w:rsidR="00115EDD" w:rsidRDefault="00115EDD" w:rsidP="00115EDD">
      <w:r>
        <w:t>Name</w:t>
      </w:r>
    </w:p>
    <w:p w14:paraId="72FB1F46" w14:textId="77777777" w:rsidR="00115EDD" w:rsidRDefault="00115EDD" w:rsidP="00115EDD">
      <w:r>
        <w:t>Email</w:t>
      </w:r>
    </w:p>
    <w:p w14:paraId="26EBA776" w14:textId="77777777" w:rsidR="00115EDD" w:rsidRPr="005031FF" w:rsidRDefault="00115EDD" w:rsidP="00115EDD">
      <w:r>
        <w:t>Phone</w:t>
      </w:r>
    </w:p>
    <w:p w14:paraId="6239C8FC" w14:textId="39841AFB" w:rsidR="00426F26" w:rsidRDefault="00115EDD" w:rsidP="00115EDD">
      <w:pPr>
        <w:pStyle w:val="Multiplechoice4"/>
      </w:pPr>
      <w:r>
        <w:t>Address</w:t>
      </w:r>
      <w:r w:rsidR="0016260A">
        <w:tab/>
      </w:r>
      <w:r w:rsidR="0016260A">
        <w:tab/>
      </w:r>
    </w:p>
    <w:p w14:paraId="5DE05CC3" w14:textId="2E1BF274" w:rsidR="00426F26" w:rsidRDefault="0016260A">
      <w:pPr>
        <w:pStyle w:val="Heading3"/>
      </w:pPr>
      <w:r>
        <w:t>How</w:t>
      </w:r>
      <w:r w:rsidR="00632C6E">
        <w:t xml:space="preserve"> do you currently monitor active travel / cycling</w:t>
      </w:r>
      <w:r>
        <w:t>?</w:t>
      </w:r>
      <w:r w:rsidR="00643E1C">
        <w:t xml:space="preserve">  Please also detail if you monitor any other transport modes</w:t>
      </w:r>
      <w:r w:rsidR="00E43304">
        <w:t xml:space="preserve"> (e.g., road traffic for developments, etc.)</w:t>
      </w:r>
    </w:p>
    <w:p w14:paraId="0353904B" w14:textId="77777777" w:rsidR="00426F26" w:rsidRDefault="0016260A">
      <w:pPr>
        <w:pStyle w:val="Multiplechoice3"/>
      </w:pPr>
      <w:r>
        <w:tab/>
      </w:r>
      <w:r>
        <w:tab/>
      </w:r>
    </w:p>
    <w:p w14:paraId="37D32C7E" w14:textId="2846816A" w:rsidR="00426F26" w:rsidRDefault="004B5C3D">
      <w:pPr>
        <w:pStyle w:val="Heading2"/>
      </w:pPr>
      <w:r>
        <w:lastRenderedPageBreak/>
        <w:t xml:space="preserve">Three </w:t>
      </w:r>
      <w:r w:rsidR="0016260A">
        <w:t>Proposed Settlement</w:t>
      </w:r>
      <w:r>
        <w:t>s</w:t>
      </w:r>
      <w:r w:rsidR="0016260A">
        <w:t>/Area</w:t>
      </w:r>
      <w:r>
        <w:t>s</w:t>
      </w:r>
      <w:r w:rsidR="0016260A">
        <w:t xml:space="preserve"> of </w:t>
      </w:r>
      <w:r w:rsidR="00643E1C">
        <w:t>~</w:t>
      </w:r>
      <w:r w:rsidR="0016260A">
        <w:t>10</w:t>
      </w:r>
      <w:r w:rsidR="001C36C6">
        <w:t>,</w:t>
      </w:r>
      <w:r w:rsidR="0016260A">
        <w:t>000 population</w:t>
      </w:r>
      <w:r w:rsidR="00393764">
        <w:t xml:space="preserve"> in your area</w:t>
      </w:r>
      <w:r w:rsidR="00E43304">
        <w:t xml:space="preserve"> or Benchmark Settlements</w:t>
      </w:r>
    </w:p>
    <w:p w14:paraId="3B5EADCD" w14:textId="0FB76CFD" w:rsidR="00426F26" w:rsidRDefault="0016260A">
      <w:pPr>
        <w:pStyle w:val="Heading3"/>
      </w:pPr>
      <w:r>
        <w:t>Name of Area</w:t>
      </w:r>
      <w:r w:rsidR="004B5C3D">
        <w:t>s</w:t>
      </w:r>
      <w:r>
        <w:t xml:space="preserve"> / Settlement</w:t>
      </w:r>
      <w:r w:rsidR="004B5C3D">
        <w:t>s</w:t>
      </w:r>
    </w:p>
    <w:p w14:paraId="3A3E5BA7" w14:textId="77777777" w:rsidR="00CD67AD" w:rsidRDefault="00CD67AD" w:rsidP="0016260A">
      <w:r>
        <w:t>1.</w:t>
      </w:r>
      <w:r>
        <w:br/>
        <w:t>2.</w:t>
      </w:r>
      <w:r>
        <w:br/>
        <w:t>3.</w:t>
      </w:r>
    </w:p>
    <w:p w14:paraId="054EE8C4" w14:textId="0ADCEE38" w:rsidR="0016260A" w:rsidRPr="00CD67AD" w:rsidRDefault="005133D1" w:rsidP="0016260A">
      <w:pPr>
        <w:rPr>
          <w:i/>
          <w:sz w:val="20"/>
          <w:szCs w:val="20"/>
          <w:u w:val="single"/>
        </w:rPr>
      </w:pPr>
      <w:r>
        <w:rPr>
          <w:i/>
          <w:sz w:val="20"/>
          <w:szCs w:val="20"/>
          <w:u w:val="single"/>
        </w:rPr>
        <w:t>If available, p</w:t>
      </w:r>
      <w:r w:rsidR="00CD67AD" w:rsidRPr="00CD67AD">
        <w:rPr>
          <w:i/>
          <w:sz w:val="20"/>
          <w:szCs w:val="20"/>
          <w:u w:val="single"/>
        </w:rPr>
        <w:t>lease include m</w:t>
      </w:r>
      <w:r w:rsidR="0016260A" w:rsidRPr="00CD67AD">
        <w:rPr>
          <w:i/>
          <w:sz w:val="20"/>
          <w:szCs w:val="20"/>
          <w:u w:val="single"/>
        </w:rPr>
        <w:t>ap</w:t>
      </w:r>
      <w:r w:rsidR="00CD67AD" w:rsidRPr="00CD67AD">
        <w:rPr>
          <w:i/>
          <w:sz w:val="20"/>
          <w:szCs w:val="20"/>
          <w:u w:val="single"/>
        </w:rPr>
        <w:t>s</w:t>
      </w:r>
      <w:r w:rsidR="0016260A" w:rsidRPr="00CD67AD">
        <w:rPr>
          <w:i/>
          <w:sz w:val="20"/>
          <w:szCs w:val="20"/>
          <w:u w:val="single"/>
        </w:rPr>
        <w:t xml:space="preserve"> of</w:t>
      </w:r>
      <w:r w:rsidR="00CD67AD" w:rsidRPr="00CD67AD">
        <w:rPr>
          <w:i/>
          <w:sz w:val="20"/>
          <w:szCs w:val="20"/>
          <w:u w:val="single"/>
        </w:rPr>
        <w:t xml:space="preserve"> the listed </w:t>
      </w:r>
      <w:r w:rsidR="0016260A" w:rsidRPr="00CD67AD">
        <w:rPr>
          <w:i/>
          <w:sz w:val="20"/>
          <w:szCs w:val="20"/>
          <w:u w:val="single"/>
        </w:rPr>
        <w:t>Area</w:t>
      </w:r>
      <w:r w:rsidR="004B5C3D" w:rsidRPr="00CD67AD">
        <w:rPr>
          <w:i/>
          <w:sz w:val="20"/>
          <w:szCs w:val="20"/>
          <w:u w:val="single"/>
        </w:rPr>
        <w:t>s</w:t>
      </w:r>
      <w:r w:rsidR="0016260A" w:rsidRPr="00CD67AD">
        <w:rPr>
          <w:i/>
          <w:sz w:val="20"/>
          <w:szCs w:val="20"/>
          <w:u w:val="single"/>
        </w:rPr>
        <w:t xml:space="preserve"> / Settlement</w:t>
      </w:r>
      <w:r w:rsidR="004B5C3D" w:rsidRPr="00CD67AD">
        <w:rPr>
          <w:i/>
          <w:sz w:val="20"/>
          <w:szCs w:val="20"/>
          <w:u w:val="single"/>
        </w:rPr>
        <w:t>s</w:t>
      </w:r>
      <w:r w:rsidR="00CD67AD" w:rsidRPr="00CD67AD">
        <w:rPr>
          <w:i/>
          <w:sz w:val="20"/>
          <w:szCs w:val="20"/>
          <w:u w:val="single"/>
        </w:rPr>
        <w:t xml:space="preserve"> as an appendix</w:t>
      </w:r>
      <w:r w:rsidR="00C36174">
        <w:rPr>
          <w:i/>
          <w:sz w:val="20"/>
          <w:szCs w:val="20"/>
          <w:u w:val="single"/>
        </w:rPr>
        <w:t xml:space="preserve"> when returning this form</w:t>
      </w:r>
      <w:r w:rsidR="0016260A" w:rsidRPr="00CD67AD">
        <w:rPr>
          <w:i/>
          <w:sz w:val="20"/>
          <w:szCs w:val="20"/>
          <w:u w:val="single"/>
        </w:rPr>
        <w:t xml:space="preserve"> </w:t>
      </w:r>
    </w:p>
    <w:p w14:paraId="3F446B8A" w14:textId="227102E5" w:rsidR="0016260A" w:rsidRDefault="00CD67AD" w:rsidP="0016260A">
      <w:r>
        <w:t>C</w:t>
      </w:r>
      <w:r w:rsidR="0016260A">
        <w:t>an you confirm if you have local cycle routes/core paths on a GIS layer?</w:t>
      </w:r>
      <w:r w:rsidR="00CA21E4">
        <w:t xml:space="preserve"> (Can be provided later if necessary)</w:t>
      </w:r>
    </w:p>
    <w:p w14:paraId="3EDE59C9" w14:textId="77777777" w:rsidR="00C36174" w:rsidRDefault="00C36174" w:rsidP="00C36174">
      <w:pPr>
        <w:spacing w:after="0" w:line="240" w:lineRule="auto"/>
      </w:pPr>
      <w:r>
        <w:t xml:space="preserve">Yes </w:t>
      </w:r>
      <w:sdt>
        <w:sdtPr>
          <w:id w:val="-1899886305"/>
          <w15:appearance w15:val="hidden"/>
          <w14:checkbox>
            <w14:checked w14:val="0"/>
            <w14:checkedState w14:val="00FE" w14:font="Wingdings"/>
            <w14:uncheckedState w14:val="00A8" w14:font="Wingdings"/>
          </w14:checkbox>
        </w:sdtPr>
        <w:sdtEndPr/>
        <w:sdtContent>
          <w:r>
            <w:sym w:font="Wingdings" w:char="F0A8"/>
          </w:r>
        </w:sdtContent>
      </w:sdt>
    </w:p>
    <w:p w14:paraId="732746E3" w14:textId="77777777" w:rsidR="00C36174" w:rsidRDefault="00C36174" w:rsidP="00C36174">
      <w:r>
        <w:t xml:space="preserve">No </w:t>
      </w:r>
      <w:sdt>
        <w:sdtPr>
          <w:id w:val="901797797"/>
          <w15:appearance w15:val="hidden"/>
          <w14:checkbox>
            <w14:checked w14:val="0"/>
            <w14:checkedState w14:val="00FE" w14:font="Wingdings"/>
            <w14:uncheckedState w14:val="00A8" w14:font="Wingdings"/>
          </w14:checkbox>
        </w:sdtPr>
        <w:sdtEndPr/>
        <w:sdtContent>
          <w:r>
            <w:sym w:font="Wingdings" w:char="F0A8"/>
          </w:r>
        </w:sdtContent>
      </w:sdt>
    </w:p>
    <w:p w14:paraId="44D76E9F" w14:textId="77777777" w:rsidR="00426F26" w:rsidRDefault="0016260A" w:rsidP="00C36174">
      <w:r>
        <w:tab/>
      </w:r>
    </w:p>
    <w:p w14:paraId="553B26E4" w14:textId="7B14D7E7" w:rsidR="00426F26" w:rsidRDefault="000F0824">
      <w:pPr>
        <w:pStyle w:val="Heading3"/>
      </w:pPr>
      <w:r>
        <w:t xml:space="preserve">At this initial stage, </w:t>
      </w:r>
      <w:r w:rsidR="000A4050">
        <w:t>can</w:t>
      </w:r>
      <w:r w:rsidR="001D7937">
        <w:t xml:space="preserve"> </w:t>
      </w:r>
      <w:r w:rsidR="000A4050">
        <w:t>you indicate an</w:t>
      </w:r>
      <w:r w:rsidR="0016260A">
        <w:t xml:space="preserve"> anticipated level of financial commitment?</w:t>
      </w:r>
    </w:p>
    <w:p w14:paraId="594FE46D" w14:textId="4E355105" w:rsidR="00426F26" w:rsidRDefault="00BC0EDE">
      <w:pPr>
        <w:pStyle w:val="Multiplechoice4"/>
      </w:pPr>
      <w:sdt>
        <w:sdtPr>
          <w:id w:val="-250733538"/>
          <w15:appearance w15:val="hidden"/>
          <w14:checkbox>
            <w14:checked w14:val="0"/>
            <w14:checkedState w14:val="00FE" w14:font="Wingdings"/>
            <w14:uncheckedState w14:val="00A8" w14:font="Wingdings"/>
          </w14:checkbox>
        </w:sdtPr>
        <w:sdtEndPr/>
        <w:sdtContent>
          <w:r w:rsidR="0070380E">
            <w:sym w:font="Wingdings" w:char="F0A8"/>
          </w:r>
        </w:sdtContent>
      </w:sdt>
      <w:r w:rsidR="0016260A">
        <w:t xml:space="preserve"> 0</w:t>
      </w:r>
      <w:r w:rsidR="0016260A">
        <w:tab/>
      </w:r>
      <w:sdt>
        <w:sdtPr>
          <w:id w:val="-380332415"/>
          <w15:appearance w15:val="hidden"/>
          <w14:checkbox>
            <w14:checked w14:val="0"/>
            <w14:checkedState w14:val="00FE" w14:font="Wingdings"/>
            <w14:uncheckedState w14:val="00A8" w14:font="Wingdings"/>
          </w14:checkbox>
        </w:sdtPr>
        <w:sdtEndPr/>
        <w:sdtContent>
          <w:r w:rsidR="0016260A">
            <w:sym w:font="Wingdings" w:char="F0A8"/>
          </w:r>
        </w:sdtContent>
      </w:sdt>
      <w:r w:rsidR="0016260A">
        <w:t xml:space="preserve"> </w:t>
      </w:r>
      <w:r w:rsidR="000A4050">
        <w:t>£</w:t>
      </w:r>
      <w:r w:rsidR="0016260A">
        <w:t>1000-3000</w:t>
      </w:r>
      <w:r w:rsidR="0016260A">
        <w:tab/>
      </w:r>
      <w:sdt>
        <w:sdtPr>
          <w:id w:val="629291538"/>
          <w15:appearance w15:val="hidden"/>
          <w14:checkbox>
            <w14:checked w14:val="0"/>
            <w14:checkedState w14:val="00FE" w14:font="Wingdings"/>
            <w14:uncheckedState w14:val="00A8" w14:font="Wingdings"/>
          </w14:checkbox>
        </w:sdtPr>
        <w:sdtEndPr/>
        <w:sdtContent>
          <w:r w:rsidR="0016260A">
            <w:sym w:font="Wingdings" w:char="F0A8"/>
          </w:r>
        </w:sdtContent>
      </w:sdt>
      <w:r w:rsidR="000A4050">
        <w:t xml:space="preserve"> £</w:t>
      </w:r>
      <w:r w:rsidR="0016260A">
        <w:t>3000-5000</w:t>
      </w:r>
      <w:r w:rsidR="0016260A">
        <w:tab/>
      </w:r>
      <w:sdt>
        <w:sdtPr>
          <w:id w:val="109479394"/>
          <w15:appearance w15:val="hidden"/>
          <w14:checkbox>
            <w14:checked w14:val="0"/>
            <w14:checkedState w14:val="00FE" w14:font="Wingdings"/>
            <w14:uncheckedState w14:val="00A8" w14:font="Wingdings"/>
          </w14:checkbox>
        </w:sdtPr>
        <w:sdtEndPr/>
        <w:sdtContent>
          <w:r w:rsidR="0016260A">
            <w:sym w:font="Wingdings" w:char="F0A8"/>
          </w:r>
        </w:sdtContent>
      </w:sdt>
      <w:r w:rsidR="0016260A">
        <w:t xml:space="preserve"> </w:t>
      </w:r>
      <w:r w:rsidR="000A4050">
        <w:t>£</w:t>
      </w:r>
      <w:r w:rsidR="0016260A">
        <w:t>5000+</w:t>
      </w:r>
    </w:p>
    <w:p w14:paraId="2C4E0AA4" w14:textId="7CB8D71B" w:rsidR="0070380E" w:rsidRDefault="0070380E">
      <w:pPr>
        <w:pStyle w:val="Multiplechoice4"/>
      </w:pPr>
    </w:p>
    <w:p w14:paraId="521D63DB" w14:textId="50394895" w:rsidR="00115EDD" w:rsidRDefault="00115EDD">
      <w:pPr>
        <w:pStyle w:val="Multiplechoice4"/>
      </w:pPr>
    </w:p>
    <w:p w14:paraId="19240E60" w14:textId="7E679F4C" w:rsidR="00115EDD" w:rsidRPr="0070380E" w:rsidRDefault="00115EDD" w:rsidP="00115EDD">
      <w:pPr>
        <w:pStyle w:val="Heading3"/>
      </w:pPr>
      <w:r>
        <w:t>Are you</w:t>
      </w:r>
      <w:r w:rsidR="0021118C">
        <w:t xml:space="preserve"> (or any other departments in your local authority)</w:t>
      </w:r>
      <w:r>
        <w:t xml:space="preserve"> planning on installing any of your own ACCs this year, or carrying out any Temporary counts? </w:t>
      </w:r>
    </w:p>
    <w:p w14:paraId="174833D9" w14:textId="77777777" w:rsidR="00115EDD" w:rsidRPr="00115EDD" w:rsidRDefault="00BC0EDE" w:rsidP="00115EDD">
      <w:pPr>
        <w:pStyle w:val="Multiplechoice4"/>
      </w:pPr>
      <w:sdt>
        <w:sdtPr>
          <w:id w:val="586820063"/>
          <w15:appearance w15:val="hidden"/>
          <w14:checkbox>
            <w14:checked w14:val="0"/>
            <w14:checkedState w14:val="00FE" w14:font="Wingdings"/>
            <w14:uncheckedState w14:val="00A8" w14:font="Wingdings"/>
          </w14:checkbox>
        </w:sdtPr>
        <w:sdtEndPr/>
        <w:sdtContent>
          <w:r w:rsidR="00115EDD">
            <w:sym w:font="Wingdings" w:char="F0A8"/>
          </w:r>
        </w:sdtContent>
      </w:sdt>
      <w:r w:rsidR="00115EDD">
        <w:t xml:space="preserve"> Yes</w:t>
      </w:r>
      <w:r w:rsidR="00115EDD">
        <w:tab/>
      </w:r>
      <w:sdt>
        <w:sdtPr>
          <w:id w:val="-1911989592"/>
          <w15:appearance w15:val="hidden"/>
          <w14:checkbox>
            <w14:checked w14:val="0"/>
            <w14:checkedState w14:val="00FE" w14:font="Wingdings"/>
            <w14:uncheckedState w14:val="00A8" w14:font="Wingdings"/>
          </w14:checkbox>
        </w:sdtPr>
        <w:sdtEndPr/>
        <w:sdtContent>
          <w:r w:rsidR="00115EDD">
            <w:sym w:font="Wingdings" w:char="F0A8"/>
          </w:r>
        </w:sdtContent>
      </w:sdt>
      <w:r w:rsidR="00115EDD">
        <w:t xml:space="preserve"> No</w:t>
      </w:r>
    </w:p>
    <w:p w14:paraId="40A25658" w14:textId="77777777" w:rsidR="00115EDD" w:rsidRPr="00115EDD" w:rsidRDefault="00115EDD">
      <w:pPr>
        <w:pStyle w:val="Multiplechoice4"/>
      </w:pPr>
    </w:p>
    <w:p w14:paraId="68FAFD24" w14:textId="6D7C0977" w:rsidR="00E06A99" w:rsidRDefault="0057229C" w:rsidP="00E06A99">
      <w:pPr>
        <w:pStyle w:val="Heading2"/>
      </w:pPr>
      <w:r>
        <w:rPr>
          <w:noProof/>
          <w:lang w:eastAsia="en-GB"/>
        </w:rPr>
        <w:lastRenderedPageBreak/>
        <w:drawing>
          <wp:anchor distT="0" distB="0" distL="114300" distR="114300" simplePos="0" relativeHeight="251658240" behindDoc="0" locked="0" layoutInCell="1" allowOverlap="1" wp14:anchorId="672DE769" wp14:editId="23DD6D04">
            <wp:simplePos x="0" y="0"/>
            <wp:positionH relativeFrom="column">
              <wp:posOffset>121285</wp:posOffset>
            </wp:positionH>
            <wp:positionV relativeFrom="paragraph">
              <wp:posOffset>429895</wp:posOffset>
            </wp:positionV>
            <wp:extent cx="3256280" cy="457200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iep\AppData\Local\Microsoft\Windows\INetCacheContent.Word\Monitoring flowchart.png"/>
                    <pic:cNvPicPr>
                      <a:picLocks noChangeAspect="1" noChangeArrowheads="1"/>
                    </pic:cNvPicPr>
                  </pic:nvPicPr>
                  <pic:blipFill>
                    <a:blip r:embed="rId10"/>
                    <a:stretch>
                      <a:fillRect/>
                    </a:stretch>
                  </pic:blipFill>
                  <pic:spPr bwMode="auto">
                    <a:xfrm>
                      <a:off x="0" y="0"/>
                      <a:ext cx="3256280" cy="4572000"/>
                    </a:xfrm>
                    <a:prstGeom prst="rect">
                      <a:avLst/>
                    </a:prstGeom>
                    <a:noFill/>
                    <a:ln>
                      <a:noFill/>
                    </a:ln>
                  </pic:spPr>
                </pic:pic>
              </a:graphicData>
            </a:graphic>
            <wp14:sizeRelH relativeFrom="margin">
              <wp14:pctWidth>0</wp14:pctWidth>
            </wp14:sizeRelH>
          </wp:anchor>
        </w:drawing>
      </w:r>
      <w:r w:rsidR="00E06A99">
        <w:t>Proposed Flow Chart of Process</w:t>
      </w:r>
    </w:p>
    <w:p w14:paraId="7FCE3C38" w14:textId="76E5EB2D" w:rsidR="00E06A99" w:rsidRDefault="00E06A99" w:rsidP="00E06A99"/>
    <w:p w14:paraId="25E930FF" w14:textId="77777777" w:rsidR="00E06A99" w:rsidRPr="00E06A99" w:rsidRDefault="00E06A99" w:rsidP="00E06A99"/>
    <w:p w14:paraId="7E097BD4" w14:textId="77777777" w:rsidR="00E06A99" w:rsidRPr="00E06A99" w:rsidRDefault="00E06A99" w:rsidP="00E06A99"/>
    <w:p w14:paraId="4CE06203" w14:textId="77777777" w:rsidR="00E06A99" w:rsidRDefault="00E06A99" w:rsidP="00E06A99">
      <w:pPr>
        <w:tabs>
          <w:tab w:val="left" w:pos="3160"/>
        </w:tabs>
      </w:pPr>
      <w:r>
        <w:tab/>
      </w:r>
    </w:p>
    <w:p w14:paraId="571CD971" w14:textId="77777777" w:rsidR="00E06A99" w:rsidRPr="00E06A99" w:rsidRDefault="00E06A99" w:rsidP="00E06A99">
      <w:r>
        <w:br w:type="textWrapping" w:clear="all"/>
      </w:r>
    </w:p>
    <w:p w14:paraId="08CEA16A" w14:textId="77777777" w:rsidR="00426F26" w:rsidRDefault="00E06A99">
      <w:pPr>
        <w:pStyle w:val="Heading2"/>
      </w:pPr>
      <w:r>
        <w:t>Commitment</w:t>
      </w:r>
    </w:p>
    <w:p w14:paraId="7A131F6B" w14:textId="4F311223" w:rsidR="00AD3891" w:rsidRDefault="00AD3891" w:rsidP="00AD3891">
      <w:pPr>
        <w:pStyle w:val="Heading3"/>
      </w:pPr>
      <w:r>
        <w:t>The commitment required for this project include</w:t>
      </w:r>
      <w:r w:rsidR="00E43304">
        <w:t>s</w:t>
      </w:r>
      <w:r>
        <w:t>:</w:t>
      </w:r>
    </w:p>
    <w:p w14:paraId="096DE4B3" w14:textId="76B89E4D" w:rsidR="00794B67" w:rsidRDefault="00AD3891" w:rsidP="00794B67">
      <w:pPr>
        <w:pStyle w:val="ListParagraph"/>
        <w:numPr>
          <w:ilvl w:val="0"/>
          <w:numId w:val="2"/>
        </w:numPr>
      </w:pPr>
      <w:r>
        <w:t>Establishing contact between C</w:t>
      </w:r>
      <w:r w:rsidR="00E43304">
        <w:t xml:space="preserve">ycling </w:t>
      </w:r>
      <w:r>
        <w:t>S</w:t>
      </w:r>
      <w:r w:rsidR="00E43304">
        <w:t>cotland</w:t>
      </w:r>
      <w:r>
        <w:t xml:space="preserve"> and a GIS representative within your</w:t>
      </w:r>
      <w:r w:rsidRPr="0057229C">
        <w:t xml:space="preserve"> organi</w:t>
      </w:r>
      <w:r w:rsidR="00393764" w:rsidRPr="0057229C">
        <w:t>s</w:t>
      </w:r>
      <w:r w:rsidRPr="0057229C">
        <w:t>ation</w:t>
      </w:r>
      <w:r>
        <w:t>, if applicable</w:t>
      </w:r>
      <w:r w:rsidR="00794B67">
        <w:t xml:space="preserve"> </w:t>
      </w:r>
    </w:p>
    <w:p w14:paraId="5B7F2A95" w14:textId="77777777" w:rsidR="00AD3891" w:rsidRDefault="00AD3891" w:rsidP="00AD3891">
      <w:pPr>
        <w:pStyle w:val="ListParagraph"/>
        <w:numPr>
          <w:ilvl w:val="0"/>
          <w:numId w:val="2"/>
        </w:numPr>
      </w:pPr>
      <w:r>
        <w:t>Providing information on existing monitoring practices and assets within your chosen settlements, passing on any available data and being available to answer general questions about the area if required</w:t>
      </w:r>
    </w:p>
    <w:p w14:paraId="38917C2F" w14:textId="41388CA9" w:rsidR="00AD3891" w:rsidRDefault="0070380E" w:rsidP="00AD3891">
      <w:pPr>
        <w:pStyle w:val="ListParagraph"/>
        <w:numPr>
          <w:ilvl w:val="0"/>
          <w:numId w:val="2"/>
        </w:numPr>
      </w:pPr>
      <w:r>
        <w:t>Establishing contact between appointed delivery partner and road</w:t>
      </w:r>
      <w:r w:rsidR="00CC1D1F">
        <w:t>s</w:t>
      </w:r>
      <w:r>
        <w:t>/</w:t>
      </w:r>
      <w:r w:rsidR="00CC1D1F">
        <w:t>planning/</w:t>
      </w:r>
      <w:r>
        <w:t xml:space="preserve">permissions colleagues </w:t>
      </w:r>
      <w:proofErr w:type="gramStart"/>
      <w:r>
        <w:t>in order to</w:t>
      </w:r>
      <w:proofErr w:type="gramEnd"/>
      <w:r>
        <w:t xml:space="preserve"> assist</w:t>
      </w:r>
      <w:r w:rsidR="00AD3891">
        <w:t xml:space="preserve"> the completion of any required planning applications</w:t>
      </w:r>
      <w:r>
        <w:t xml:space="preserve"> or access permissions</w:t>
      </w:r>
    </w:p>
    <w:p w14:paraId="4055D9B0" w14:textId="6AF33B8F" w:rsidR="00AD3891" w:rsidRDefault="0070380E" w:rsidP="00AD3891">
      <w:pPr>
        <w:pStyle w:val="ListParagraph"/>
        <w:numPr>
          <w:ilvl w:val="0"/>
          <w:numId w:val="2"/>
        </w:numPr>
      </w:pPr>
      <w:proofErr w:type="gramStart"/>
      <w:r>
        <w:t>Providing assistance</w:t>
      </w:r>
      <w:proofErr w:type="gramEnd"/>
      <w:r>
        <w:t xml:space="preserve"> and </w:t>
      </w:r>
      <w:r w:rsidR="00CC1D1F">
        <w:t xml:space="preserve">local </w:t>
      </w:r>
      <w:r>
        <w:t>knowledge in selecting sites for ACCs and temporary counts</w:t>
      </w:r>
    </w:p>
    <w:p w14:paraId="137D3C7F" w14:textId="77777777" w:rsidR="00AD3891" w:rsidRDefault="00AD3891" w:rsidP="00AD3891">
      <w:pPr>
        <w:pStyle w:val="Heading3"/>
        <w:pBdr>
          <w:top w:val="single" w:sz="2" w:space="0" w:color="7F7F7F" w:themeColor="text1" w:themeTint="80"/>
        </w:pBdr>
      </w:pPr>
    </w:p>
    <w:p w14:paraId="4686A150" w14:textId="77777777" w:rsidR="004B5C3D" w:rsidRPr="004B5C3D" w:rsidRDefault="004B5C3D" w:rsidP="004B5C3D"/>
    <w:p w14:paraId="35E75759" w14:textId="77777777" w:rsidR="00426F26" w:rsidRDefault="00E06A99" w:rsidP="00043FC0">
      <w:pPr>
        <w:pStyle w:val="Heading2"/>
        <w:pBdr>
          <w:top w:val="single" w:sz="6" w:space="0" w:color="1F4E79" w:themeColor="accent1" w:themeShade="80"/>
        </w:pBdr>
      </w:pPr>
      <w:r>
        <w:lastRenderedPageBreak/>
        <w:t>Timeline</w:t>
      </w:r>
    </w:p>
    <w:p w14:paraId="070ED0A5" w14:textId="0A0F796F" w:rsidR="00CD67AD" w:rsidRDefault="00CD67AD" w:rsidP="00E06A99">
      <w:pPr>
        <w:pStyle w:val="Heading3"/>
      </w:pPr>
      <w:r>
        <w:t>Expression of</w:t>
      </w:r>
      <w:r w:rsidR="00DA1F59">
        <w:t xml:space="preserve"> i</w:t>
      </w:r>
      <w:r w:rsidR="00643E1C">
        <w:t xml:space="preserve">nterest launched: </w:t>
      </w:r>
      <w:r w:rsidR="00503AC9">
        <w:t>Wednesday 28</w:t>
      </w:r>
      <w:r w:rsidR="00503AC9" w:rsidRPr="00503AC9">
        <w:rPr>
          <w:vertAlign w:val="superscript"/>
        </w:rPr>
        <w:t>th</w:t>
      </w:r>
      <w:r w:rsidR="00503AC9">
        <w:t xml:space="preserve"> March 2018</w:t>
      </w:r>
    </w:p>
    <w:p w14:paraId="5E66FF37" w14:textId="553DEA29" w:rsidR="00426F26" w:rsidRDefault="00144244" w:rsidP="00E06A99">
      <w:pPr>
        <w:pStyle w:val="Heading3"/>
      </w:pPr>
      <w:r>
        <w:t xml:space="preserve">Deadline for return of expression of interest: </w:t>
      </w:r>
      <w:r w:rsidR="003F305F">
        <w:t>Friday 13</w:t>
      </w:r>
      <w:r w:rsidR="003F305F" w:rsidRPr="003F305F">
        <w:rPr>
          <w:vertAlign w:val="superscript"/>
        </w:rPr>
        <w:t>th</w:t>
      </w:r>
      <w:r w:rsidR="003F305F">
        <w:t xml:space="preserve"> April 2018</w:t>
      </w:r>
    </w:p>
    <w:p w14:paraId="3059C071" w14:textId="5F6348D2" w:rsidR="00CD67AD" w:rsidRDefault="00CD67AD" w:rsidP="00CD67AD">
      <w:pPr>
        <w:pStyle w:val="Heading3"/>
      </w:pPr>
      <w:r>
        <w:t xml:space="preserve">Desk based analysis of proposed locations to create priority list: </w:t>
      </w:r>
      <w:r w:rsidR="003F305F">
        <w:t>April 2018</w:t>
      </w:r>
    </w:p>
    <w:p w14:paraId="56844B8E" w14:textId="7583723C" w:rsidR="00CD67AD" w:rsidRPr="00CD67AD" w:rsidRDefault="00CD67AD" w:rsidP="00CD67AD">
      <w:pPr>
        <w:pStyle w:val="Heading3"/>
      </w:pPr>
      <w:r>
        <w:t xml:space="preserve">Monitoring solutions installed: </w:t>
      </w:r>
      <w:r w:rsidR="003F305F">
        <w:t>May – August 2018</w:t>
      </w:r>
    </w:p>
    <w:p w14:paraId="2C5370E9" w14:textId="77777777" w:rsidR="00426F26" w:rsidRDefault="0016260A">
      <w:pPr>
        <w:pStyle w:val="Heading2"/>
      </w:pPr>
      <w:r>
        <w:t>Additional Feedback</w:t>
      </w:r>
    </w:p>
    <w:tbl>
      <w:tblPr>
        <w:tblW w:w="5000" w:type="pct"/>
        <w:tblBorders>
          <w:bottom w:val="single" w:sz="6" w:space="0" w:color="1F4E79" w:themeColor="accent1" w:themeShade="80"/>
          <w:insideH w:val="single" w:sz="6" w:space="0" w:color="1F4E79" w:themeColor="accent1" w:themeShade="80"/>
        </w:tblBorders>
        <w:tblCellMar>
          <w:left w:w="0" w:type="dxa"/>
          <w:right w:w="0" w:type="dxa"/>
        </w:tblCellMar>
        <w:tblLook w:val="04A0" w:firstRow="1" w:lastRow="0" w:firstColumn="1" w:lastColumn="0" w:noHBand="0" w:noVBand="1"/>
        <w:tblDescription w:val="Blank feedback table"/>
      </w:tblPr>
      <w:tblGrid>
        <w:gridCol w:w="10800"/>
      </w:tblGrid>
      <w:tr w:rsidR="00426F26" w14:paraId="0851BB68" w14:textId="77777777" w:rsidTr="00E06A99">
        <w:trPr>
          <w:trHeight w:val="360"/>
        </w:trPr>
        <w:tc>
          <w:tcPr>
            <w:tcW w:w="10800" w:type="dxa"/>
            <w:tcBorders>
              <w:top w:val="nil"/>
            </w:tcBorders>
          </w:tcPr>
          <w:p w14:paraId="181F6AD2" w14:textId="77777777" w:rsidR="00426F26" w:rsidRDefault="00426F26">
            <w:pPr>
              <w:keepNext/>
              <w:keepLines/>
              <w:spacing w:after="0" w:line="240" w:lineRule="auto"/>
            </w:pPr>
          </w:p>
        </w:tc>
      </w:tr>
      <w:tr w:rsidR="00426F26" w14:paraId="0A8AF7DE" w14:textId="77777777" w:rsidTr="00E06A99">
        <w:trPr>
          <w:trHeight w:val="360"/>
        </w:trPr>
        <w:tc>
          <w:tcPr>
            <w:tcW w:w="10800" w:type="dxa"/>
          </w:tcPr>
          <w:p w14:paraId="428F3256" w14:textId="77777777" w:rsidR="00426F26" w:rsidRDefault="00426F26">
            <w:pPr>
              <w:keepNext/>
              <w:keepLines/>
              <w:spacing w:after="0" w:line="240" w:lineRule="auto"/>
            </w:pPr>
          </w:p>
        </w:tc>
      </w:tr>
      <w:tr w:rsidR="00426F26" w14:paraId="78C624DE" w14:textId="77777777" w:rsidTr="00E06A99">
        <w:trPr>
          <w:trHeight w:val="360"/>
        </w:trPr>
        <w:tc>
          <w:tcPr>
            <w:tcW w:w="10800" w:type="dxa"/>
          </w:tcPr>
          <w:p w14:paraId="1053C556" w14:textId="77777777" w:rsidR="00426F26" w:rsidRDefault="00426F26">
            <w:pPr>
              <w:keepNext/>
              <w:keepLines/>
              <w:spacing w:after="0" w:line="240" w:lineRule="auto"/>
            </w:pPr>
          </w:p>
        </w:tc>
      </w:tr>
      <w:tr w:rsidR="00426F26" w14:paraId="5090DC7F" w14:textId="77777777" w:rsidTr="00E06A99">
        <w:trPr>
          <w:trHeight w:val="360"/>
        </w:trPr>
        <w:tc>
          <w:tcPr>
            <w:tcW w:w="10800" w:type="dxa"/>
          </w:tcPr>
          <w:p w14:paraId="6481546E" w14:textId="77777777" w:rsidR="00426F26" w:rsidRDefault="00426F26">
            <w:pPr>
              <w:keepNext/>
              <w:keepLines/>
              <w:spacing w:after="0" w:line="240" w:lineRule="auto"/>
            </w:pPr>
          </w:p>
        </w:tc>
      </w:tr>
      <w:tr w:rsidR="00426F26" w14:paraId="0B35CBE6" w14:textId="77777777" w:rsidTr="00E06A99">
        <w:trPr>
          <w:trHeight w:val="360"/>
        </w:trPr>
        <w:tc>
          <w:tcPr>
            <w:tcW w:w="10800" w:type="dxa"/>
          </w:tcPr>
          <w:p w14:paraId="6067DA7D" w14:textId="77777777" w:rsidR="00426F26" w:rsidRDefault="00426F26">
            <w:pPr>
              <w:keepNext/>
              <w:keepLines/>
              <w:spacing w:after="0" w:line="240" w:lineRule="auto"/>
            </w:pPr>
          </w:p>
        </w:tc>
      </w:tr>
      <w:tr w:rsidR="00426F26" w14:paraId="74F5E358" w14:textId="77777777" w:rsidTr="00E06A99">
        <w:trPr>
          <w:trHeight w:val="360"/>
        </w:trPr>
        <w:tc>
          <w:tcPr>
            <w:tcW w:w="10800" w:type="dxa"/>
          </w:tcPr>
          <w:p w14:paraId="29DBEBE8" w14:textId="77777777" w:rsidR="00426F26" w:rsidRDefault="00426F26">
            <w:pPr>
              <w:keepNext/>
              <w:keepLines/>
              <w:spacing w:after="0" w:line="240" w:lineRule="auto"/>
            </w:pPr>
          </w:p>
        </w:tc>
      </w:tr>
      <w:tr w:rsidR="00426F26" w14:paraId="0D5AE2FB" w14:textId="77777777" w:rsidTr="00E06A99">
        <w:trPr>
          <w:trHeight w:val="360"/>
        </w:trPr>
        <w:tc>
          <w:tcPr>
            <w:tcW w:w="10800" w:type="dxa"/>
          </w:tcPr>
          <w:p w14:paraId="181F8C6D" w14:textId="77777777" w:rsidR="00426F26" w:rsidRDefault="00426F26">
            <w:pPr>
              <w:keepNext/>
              <w:keepLines/>
              <w:spacing w:after="0" w:line="240" w:lineRule="auto"/>
            </w:pPr>
          </w:p>
        </w:tc>
      </w:tr>
      <w:tr w:rsidR="00426F26" w14:paraId="25CADADB" w14:textId="77777777" w:rsidTr="00E06A99">
        <w:trPr>
          <w:trHeight w:val="360"/>
        </w:trPr>
        <w:tc>
          <w:tcPr>
            <w:tcW w:w="10800" w:type="dxa"/>
          </w:tcPr>
          <w:p w14:paraId="72C25F31" w14:textId="77777777" w:rsidR="00426F26" w:rsidRDefault="00426F26">
            <w:pPr>
              <w:keepNext/>
              <w:keepLines/>
              <w:spacing w:after="0" w:line="240" w:lineRule="auto"/>
            </w:pPr>
          </w:p>
        </w:tc>
      </w:tr>
      <w:tr w:rsidR="00426F26" w14:paraId="53FF49BF" w14:textId="77777777" w:rsidTr="00E06A99">
        <w:trPr>
          <w:trHeight w:val="360"/>
        </w:trPr>
        <w:tc>
          <w:tcPr>
            <w:tcW w:w="10800" w:type="dxa"/>
          </w:tcPr>
          <w:p w14:paraId="723AC75E" w14:textId="77777777" w:rsidR="00426F26" w:rsidRDefault="00426F26">
            <w:pPr>
              <w:keepNext/>
              <w:keepLines/>
              <w:spacing w:after="0" w:line="240" w:lineRule="auto"/>
            </w:pPr>
          </w:p>
        </w:tc>
      </w:tr>
      <w:tr w:rsidR="00426F26" w14:paraId="07B922FC" w14:textId="77777777" w:rsidTr="00E06A99">
        <w:trPr>
          <w:trHeight w:val="360"/>
        </w:trPr>
        <w:tc>
          <w:tcPr>
            <w:tcW w:w="10800" w:type="dxa"/>
          </w:tcPr>
          <w:p w14:paraId="03BD141C" w14:textId="77777777" w:rsidR="00426F26" w:rsidRDefault="00426F26">
            <w:pPr>
              <w:keepNext/>
              <w:keepLines/>
              <w:spacing w:after="0" w:line="240" w:lineRule="auto"/>
            </w:pPr>
          </w:p>
        </w:tc>
      </w:tr>
      <w:tr w:rsidR="00426F26" w14:paraId="1454FDF2" w14:textId="77777777" w:rsidTr="00E06A99">
        <w:trPr>
          <w:trHeight w:val="360"/>
        </w:trPr>
        <w:tc>
          <w:tcPr>
            <w:tcW w:w="10800" w:type="dxa"/>
            <w:tcBorders>
              <w:bottom w:val="single" w:sz="6" w:space="0" w:color="1F4E79" w:themeColor="accent1" w:themeShade="80"/>
            </w:tcBorders>
          </w:tcPr>
          <w:p w14:paraId="647FC27C" w14:textId="77777777" w:rsidR="00426F26" w:rsidRDefault="00426F26">
            <w:pPr>
              <w:keepNext/>
              <w:keepLines/>
              <w:spacing w:after="0" w:line="240" w:lineRule="auto"/>
            </w:pPr>
          </w:p>
        </w:tc>
      </w:tr>
      <w:tr w:rsidR="00426F26" w14:paraId="38163962" w14:textId="77777777" w:rsidTr="00E06A99">
        <w:trPr>
          <w:trHeight w:val="360"/>
        </w:trPr>
        <w:tc>
          <w:tcPr>
            <w:tcW w:w="10800" w:type="dxa"/>
            <w:tcBorders>
              <w:top w:val="single" w:sz="6" w:space="0" w:color="1F4E79" w:themeColor="accent1" w:themeShade="80"/>
              <w:bottom w:val="single" w:sz="12" w:space="0" w:color="1F4E79" w:themeColor="accent1" w:themeShade="80"/>
            </w:tcBorders>
          </w:tcPr>
          <w:p w14:paraId="1B9ED9CC" w14:textId="77777777" w:rsidR="00426F26" w:rsidRDefault="00426F26">
            <w:pPr>
              <w:keepNext/>
              <w:keepLines/>
              <w:spacing w:after="0" w:line="240" w:lineRule="auto"/>
            </w:pPr>
          </w:p>
        </w:tc>
      </w:tr>
    </w:tbl>
    <w:p w14:paraId="47A42903" w14:textId="1D6FA268" w:rsidR="00E06A99" w:rsidRDefault="00643E1C" w:rsidP="00E06A99">
      <w:pPr>
        <w:pStyle w:val="Heading2"/>
      </w:pPr>
      <w:r>
        <w:t>Please direct responses and questions to:</w:t>
      </w:r>
    </w:p>
    <w:tbl>
      <w:tblPr>
        <w:tblW w:w="5000" w:type="pct"/>
        <w:tblBorders>
          <w:bottom w:val="single" w:sz="6" w:space="0" w:color="1F4E79" w:themeColor="accent1" w:themeShade="80"/>
          <w:insideH w:val="single" w:sz="6" w:space="0" w:color="1F4E79" w:themeColor="accent1" w:themeShade="80"/>
        </w:tblBorders>
        <w:tblCellMar>
          <w:left w:w="0" w:type="dxa"/>
          <w:right w:w="0" w:type="dxa"/>
        </w:tblCellMar>
        <w:tblLook w:val="04A0" w:firstRow="1" w:lastRow="0" w:firstColumn="1" w:lastColumn="0" w:noHBand="0" w:noVBand="1"/>
        <w:tblDescription w:val="Blank feedback table"/>
      </w:tblPr>
      <w:tblGrid>
        <w:gridCol w:w="10800"/>
      </w:tblGrid>
      <w:tr w:rsidR="00E06A99" w14:paraId="7087B3DD" w14:textId="77777777" w:rsidTr="004F7358">
        <w:trPr>
          <w:trHeight w:val="360"/>
        </w:trPr>
        <w:tc>
          <w:tcPr>
            <w:tcW w:w="10800" w:type="dxa"/>
            <w:tcBorders>
              <w:top w:val="nil"/>
            </w:tcBorders>
          </w:tcPr>
          <w:p w14:paraId="7FC62BB5" w14:textId="4BFC826A" w:rsidR="00E06A99" w:rsidRDefault="00AD3891" w:rsidP="004F7358">
            <w:pPr>
              <w:keepNext/>
              <w:keepLines/>
              <w:spacing w:after="0" w:line="240" w:lineRule="auto"/>
            </w:pPr>
            <w:r>
              <w:t xml:space="preserve">Luke Phillips, Monitoring and Development Officer </w:t>
            </w:r>
            <w:r w:rsidR="00DA1F59">
              <w:t>–</w:t>
            </w:r>
            <w:r w:rsidRPr="00DA1F59">
              <w:t xml:space="preserve"> </w:t>
            </w:r>
            <w:hyperlink r:id="rId11" w:history="1">
              <w:r w:rsidR="00DA1F59" w:rsidRPr="00CB522C">
                <w:rPr>
                  <w:rStyle w:val="Hyperlink"/>
                </w:rPr>
                <w:t>monitoring@cycling.scot</w:t>
              </w:r>
            </w:hyperlink>
            <w:r w:rsidR="00DA1F59">
              <w:t xml:space="preserve"> </w:t>
            </w:r>
          </w:p>
        </w:tc>
      </w:tr>
      <w:tr w:rsidR="00E06A99" w14:paraId="697D045D" w14:textId="77777777" w:rsidTr="004F7358">
        <w:trPr>
          <w:trHeight w:val="360"/>
        </w:trPr>
        <w:tc>
          <w:tcPr>
            <w:tcW w:w="10800" w:type="dxa"/>
          </w:tcPr>
          <w:p w14:paraId="210C21E5" w14:textId="0BF13A4B" w:rsidR="00E06A99" w:rsidRDefault="00DA1F59" w:rsidP="004F7358">
            <w:pPr>
              <w:keepNext/>
              <w:keepLines/>
              <w:spacing w:after="0" w:line="240" w:lineRule="auto"/>
            </w:pPr>
            <w:r>
              <w:t>Tel: 0141 229 5445</w:t>
            </w:r>
          </w:p>
        </w:tc>
      </w:tr>
    </w:tbl>
    <w:p w14:paraId="7C1D4A22" w14:textId="77777777" w:rsidR="00B77E63" w:rsidRDefault="00B77E63" w:rsidP="00E06A99">
      <w:pPr>
        <w:pStyle w:val="Heading2"/>
      </w:pPr>
    </w:p>
    <w:p w14:paraId="0AB1FF34" w14:textId="77777777" w:rsidR="009B31BF" w:rsidRDefault="009B31BF" w:rsidP="00B77E63">
      <w:pPr>
        <w:pStyle w:val="Heading1"/>
        <w:rPr>
          <w:rFonts w:asciiTheme="minorHAnsi" w:eastAsiaTheme="minorEastAsia" w:hAnsiTheme="minorHAnsi" w:cstheme="minorBidi"/>
          <w:b w:val="0"/>
          <w:bCs w:val="0"/>
          <w:color w:val="auto"/>
          <w:sz w:val="22"/>
          <w:szCs w:val="22"/>
        </w:rPr>
      </w:pPr>
    </w:p>
    <w:p w14:paraId="69982350" w14:textId="0EF650A6" w:rsidR="009B31BF" w:rsidRDefault="007029E7" w:rsidP="007029E7">
      <w:pPr>
        <w:pStyle w:val="Heading1"/>
        <w:tabs>
          <w:tab w:val="left" w:pos="1845"/>
        </w:tabs>
        <w:rPr>
          <w:rFonts w:asciiTheme="minorHAnsi" w:eastAsiaTheme="minorEastAsia" w:hAnsiTheme="minorHAnsi" w:cstheme="minorBidi"/>
          <w:b w:val="0"/>
          <w:bCs w:val="0"/>
          <w:color w:val="auto"/>
          <w:sz w:val="22"/>
          <w:szCs w:val="22"/>
        </w:rPr>
      </w:pPr>
      <w:r>
        <w:rPr>
          <w:rFonts w:asciiTheme="minorHAnsi" w:eastAsiaTheme="minorEastAsia" w:hAnsiTheme="minorHAnsi" w:cstheme="minorBidi"/>
          <w:b w:val="0"/>
          <w:bCs w:val="0"/>
          <w:color w:val="auto"/>
          <w:sz w:val="22"/>
          <w:szCs w:val="22"/>
        </w:rPr>
        <w:tab/>
      </w:r>
    </w:p>
    <w:p w14:paraId="0C8FA176" w14:textId="2ECDF961" w:rsidR="009B31BF" w:rsidRDefault="009B31BF" w:rsidP="00B77E63">
      <w:pPr>
        <w:pStyle w:val="Heading1"/>
        <w:rPr>
          <w:rFonts w:asciiTheme="minorHAnsi" w:eastAsiaTheme="minorEastAsia" w:hAnsiTheme="minorHAnsi" w:cstheme="minorBidi"/>
          <w:b w:val="0"/>
          <w:bCs w:val="0"/>
          <w:color w:val="auto"/>
          <w:sz w:val="22"/>
          <w:szCs w:val="22"/>
        </w:rPr>
      </w:pPr>
    </w:p>
    <w:p w14:paraId="2EE4BAA2" w14:textId="77777777" w:rsidR="00B40B95" w:rsidRPr="00B40B95" w:rsidRDefault="00B40B95" w:rsidP="00B40B95"/>
    <w:p w14:paraId="7E7177B4" w14:textId="1008F693" w:rsidR="00B77E63" w:rsidRDefault="009B31BF" w:rsidP="00B77E63">
      <w:pPr>
        <w:pStyle w:val="Heading1"/>
      </w:pPr>
      <w:r>
        <w:lastRenderedPageBreak/>
        <w:t>A</w:t>
      </w:r>
      <w:r w:rsidR="00B77E63">
        <w:t>ppendix: Frequently Asked Questions</w:t>
      </w:r>
    </w:p>
    <w:p w14:paraId="0AD23285" w14:textId="1E6B3FFB" w:rsidR="00DA1F59" w:rsidRPr="00677A64" w:rsidRDefault="00DA1F59" w:rsidP="00B77E63">
      <w:pPr>
        <w:rPr>
          <w:sz w:val="21"/>
          <w:szCs w:val="21"/>
          <w:u w:val="single"/>
        </w:rPr>
      </w:pPr>
      <w:r w:rsidRPr="00677A64">
        <w:rPr>
          <w:sz w:val="21"/>
          <w:szCs w:val="21"/>
          <w:u w:val="single"/>
        </w:rPr>
        <w:t>What if my area does not have any settlements with at least 10,000 population?</w:t>
      </w:r>
    </w:p>
    <w:p w14:paraId="13824858" w14:textId="58384C9E" w:rsidR="00DA1F59" w:rsidRPr="00677A64" w:rsidRDefault="00DA1F59" w:rsidP="00B77E63">
      <w:pPr>
        <w:rPr>
          <w:sz w:val="21"/>
          <w:szCs w:val="21"/>
        </w:rPr>
      </w:pPr>
      <w:r w:rsidRPr="00677A64">
        <w:rPr>
          <w:sz w:val="21"/>
          <w:szCs w:val="21"/>
        </w:rPr>
        <w:t>If this is the case, Cycling Scotland are happy to look at larger</w:t>
      </w:r>
      <w:r w:rsidR="00EF4326">
        <w:rPr>
          <w:sz w:val="21"/>
          <w:szCs w:val="21"/>
        </w:rPr>
        <w:t>, benchmark</w:t>
      </w:r>
      <w:r w:rsidRPr="00677A64">
        <w:rPr>
          <w:sz w:val="21"/>
          <w:szCs w:val="21"/>
        </w:rPr>
        <w:t xml:space="preserve"> settlements within that area which come reasonably close to 10,000 population. </w:t>
      </w:r>
    </w:p>
    <w:p w14:paraId="620A3E2F" w14:textId="0EFFEA75" w:rsidR="00B77E63" w:rsidRPr="00677A64" w:rsidRDefault="00B77E63" w:rsidP="00B77E63">
      <w:pPr>
        <w:rPr>
          <w:sz w:val="21"/>
          <w:szCs w:val="21"/>
          <w:u w:val="single"/>
        </w:rPr>
      </w:pPr>
      <w:r w:rsidRPr="00677A64">
        <w:rPr>
          <w:sz w:val="21"/>
          <w:szCs w:val="21"/>
          <w:u w:val="single"/>
        </w:rPr>
        <w:t>Who will organise and administer the installation of any assets, should it be required?</w:t>
      </w:r>
    </w:p>
    <w:p w14:paraId="3E006C6A" w14:textId="3BCD0EE5" w:rsidR="00B77E63" w:rsidRPr="00677A64" w:rsidRDefault="0070380E" w:rsidP="00B77E63">
      <w:pPr>
        <w:rPr>
          <w:sz w:val="21"/>
          <w:szCs w:val="21"/>
        </w:rPr>
      </w:pPr>
      <w:r>
        <w:rPr>
          <w:sz w:val="21"/>
          <w:szCs w:val="21"/>
        </w:rPr>
        <w:t>Cycling Scotland have</w:t>
      </w:r>
      <w:r w:rsidR="00B77E63" w:rsidRPr="00677A64">
        <w:rPr>
          <w:sz w:val="21"/>
          <w:szCs w:val="21"/>
        </w:rPr>
        <w:t xml:space="preserve"> appoint</w:t>
      </w:r>
      <w:r>
        <w:rPr>
          <w:sz w:val="21"/>
          <w:szCs w:val="21"/>
        </w:rPr>
        <w:t xml:space="preserve">ed TDC Systems (Automatic Cycle Counters) and Streetwise Services (Temporary counts) via a </w:t>
      </w:r>
      <w:r w:rsidR="00EF4326">
        <w:rPr>
          <w:sz w:val="21"/>
          <w:szCs w:val="21"/>
        </w:rPr>
        <w:t>full</w:t>
      </w:r>
      <w:r w:rsidR="0021118C">
        <w:rPr>
          <w:sz w:val="21"/>
          <w:szCs w:val="21"/>
        </w:rPr>
        <w:t xml:space="preserve">, </w:t>
      </w:r>
      <w:r w:rsidR="0057229C">
        <w:rPr>
          <w:sz w:val="21"/>
          <w:szCs w:val="21"/>
        </w:rPr>
        <w:t xml:space="preserve">competitive </w:t>
      </w:r>
      <w:r>
        <w:rPr>
          <w:sz w:val="21"/>
          <w:szCs w:val="21"/>
        </w:rPr>
        <w:t>tender process</w:t>
      </w:r>
      <w:r w:rsidR="00B77E63" w:rsidRPr="00677A64">
        <w:rPr>
          <w:sz w:val="21"/>
          <w:szCs w:val="21"/>
        </w:rPr>
        <w:t xml:space="preserve"> a</w:t>
      </w:r>
      <w:r>
        <w:rPr>
          <w:sz w:val="21"/>
          <w:szCs w:val="21"/>
        </w:rPr>
        <w:t>s</w:t>
      </w:r>
      <w:r w:rsidR="00B77E63" w:rsidRPr="00677A64">
        <w:rPr>
          <w:sz w:val="21"/>
          <w:szCs w:val="21"/>
        </w:rPr>
        <w:t xml:space="preserve"> delivery partner</w:t>
      </w:r>
      <w:r>
        <w:rPr>
          <w:sz w:val="21"/>
          <w:szCs w:val="21"/>
        </w:rPr>
        <w:t>s</w:t>
      </w:r>
      <w:r w:rsidR="001774BD">
        <w:rPr>
          <w:sz w:val="21"/>
          <w:szCs w:val="21"/>
        </w:rPr>
        <w:t xml:space="preserve"> for this project</w:t>
      </w:r>
      <w:r>
        <w:rPr>
          <w:sz w:val="21"/>
          <w:szCs w:val="21"/>
        </w:rPr>
        <w:t>. The</w:t>
      </w:r>
      <w:r w:rsidR="00B77E63" w:rsidRPr="00677A64">
        <w:rPr>
          <w:sz w:val="21"/>
          <w:szCs w:val="21"/>
        </w:rPr>
        <w:t xml:space="preserve"> partner</w:t>
      </w:r>
      <w:r>
        <w:rPr>
          <w:sz w:val="21"/>
          <w:szCs w:val="21"/>
        </w:rPr>
        <w:t>s</w:t>
      </w:r>
      <w:r w:rsidR="00B77E63" w:rsidRPr="00677A64">
        <w:rPr>
          <w:sz w:val="21"/>
          <w:szCs w:val="21"/>
        </w:rPr>
        <w:t xml:space="preserve"> will provide, organise and administer the installation of any required assets.</w:t>
      </w:r>
    </w:p>
    <w:p w14:paraId="314BE218" w14:textId="77777777" w:rsidR="00B77E63" w:rsidRPr="00677A64" w:rsidRDefault="00B77E63" w:rsidP="00B77E63">
      <w:pPr>
        <w:rPr>
          <w:sz w:val="21"/>
          <w:szCs w:val="21"/>
          <w:u w:val="single"/>
        </w:rPr>
      </w:pPr>
      <w:r w:rsidRPr="00677A64">
        <w:rPr>
          <w:sz w:val="21"/>
          <w:szCs w:val="21"/>
          <w:u w:val="single"/>
        </w:rPr>
        <w:t>Who would own any installed assets?</w:t>
      </w:r>
    </w:p>
    <w:p w14:paraId="472D866A" w14:textId="77777777" w:rsidR="00B77E63" w:rsidRPr="00677A64" w:rsidRDefault="00B77E63" w:rsidP="00B77E63">
      <w:pPr>
        <w:rPr>
          <w:sz w:val="21"/>
          <w:szCs w:val="21"/>
        </w:rPr>
      </w:pPr>
      <w:r w:rsidRPr="00677A64">
        <w:rPr>
          <w:sz w:val="21"/>
          <w:szCs w:val="21"/>
        </w:rPr>
        <w:t>Cycling Scotland would be the owner of any assets purchased through the scheme and they would be loaned to the partner for the duration of the partnership.</w:t>
      </w:r>
    </w:p>
    <w:p w14:paraId="388A663A" w14:textId="77777777" w:rsidR="00B77E63" w:rsidRPr="00677A64" w:rsidRDefault="00B77E63" w:rsidP="00B77E63">
      <w:pPr>
        <w:rPr>
          <w:sz w:val="21"/>
          <w:szCs w:val="21"/>
          <w:u w:val="single"/>
        </w:rPr>
      </w:pPr>
      <w:bookmarkStart w:id="1" w:name="_Hlk488672451"/>
      <w:r w:rsidRPr="00677A64">
        <w:rPr>
          <w:sz w:val="21"/>
          <w:szCs w:val="21"/>
          <w:u w:val="single"/>
        </w:rPr>
        <w:t>Who is responsible for the maintenance of any assets, should it be required?</w:t>
      </w:r>
    </w:p>
    <w:p w14:paraId="1DFF47B2" w14:textId="77777777" w:rsidR="0081257C" w:rsidRDefault="00B77E63" w:rsidP="0081257C">
      <w:r w:rsidRPr="00677A64">
        <w:rPr>
          <w:sz w:val="21"/>
          <w:szCs w:val="21"/>
        </w:rPr>
        <w:t>Any installed assets will</w:t>
      </w:r>
      <w:r w:rsidR="00115EDD">
        <w:rPr>
          <w:sz w:val="21"/>
          <w:szCs w:val="21"/>
        </w:rPr>
        <w:t xml:space="preserve"> include 5</w:t>
      </w:r>
      <w:r w:rsidRPr="00677A64">
        <w:rPr>
          <w:sz w:val="21"/>
          <w:szCs w:val="21"/>
        </w:rPr>
        <w:t xml:space="preserve"> years of maintenance from the organisation that provides the asset. If any maintenance is required, it will be organised </w:t>
      </w:r>
      <w:r w:rsidR="005133D1" w:rsidRPr="00677A64">
        <w:rPr>
          <w:sz w:val="21"/>
          <w:szCs w:val="21"/>
        </w:rPr>
        <w:t>through this contract</w:t>
      </w:r>
      <w:r w:rsidRPr="00677A64">
        <w:rPr>
          <w:sz w:val="21"/>
          <w:szCs w:val="21"/>
        </w:rPr>
        <w:t>.</w:t>
      </w:r>
      <w:r w:rsidR="00B916A3">
        <w:rPr>
          <w:sz w:val="21"/>
          <w:szCs w:val="21"/>
        </w:rPr>
        <w:t xml:space="preserve"> </w:t>
      </w:r>
      <w:r w:rsidR="0081257C">
        <w:t xml:space="preserve">For any repairs or maintenance deemed </w:t>
      </w:r>
      <w:proofErr w:type="spellStart"/>
      <w:r w:rsidR="0081257C">
        <w:t>outwith</w:t>
      </w:r>
      <w:proofErr w:type="spellEnd"/>
      <w:r w:rsidR="0081257C">
        <w:t xml:space="preserve"> this agreement, Cycling Scotland would wish to discuss any possible contributions from the partner.</w:t>
      </w:r>
    </w:p>
    <w:bookmarkEnd w:id="1"/>
    <w:p w14:paraId="4F4C01C4" w14:textId="01010B77" w:rsidR="00B77E63" w:rsidRPr="00677A64" w:rsidRDefault="00B77E63" w:rsidP="00B77E63">
      <w:pPr>
        <w:rPr>
          <w:sz w:val="21"/>
          <w:szCs w:val="21"/>
          <w:u w:val="single"/>
        </w:rPr>
      </w:pPr>
      <w:r w:rsidRPr="00677A64">
        <w:rPr>
          <w:sz w:val="21"/>
          <w:szCs w:val="21"/>
          <w:u w:val="single"/>
        </w:rPr>
        <w:t xml:space="preserve">Once the </w:t>
      </w:r>
      <w:r w:rsidR="0057229C">
        <w:rPr>
          <w:sz w:val="21"/>
          <w:szCs w:val="21"/>
          <w:u w:val="single"/>
        </w:rPr>
        <w:t>five</w:t>
      </w:r>
      <w:r w:rsidRPr="00677A64">
        <w:rPr>
          <w:sz w:val="21"/>
          <w:szCs w:val="21"/>
          <w:u w:val="single"/>
        </w:rPr>
        <w:t>-year process has ended, will any assets require decommissioning? If so, by whom?</w:t>
      </w:r>
    </w:p>
    <w:p w14:paraId="31EC9C30" w14:textId="1727DED9" w:rsidR="00B77E63" w:rsidRPr="00677A64" w:rsidRDefault="00B77E63" w:rsidP="00B77E63">
      <w:pPr>
        <w:rPr>
          <w:sz w:val="21"/>
          <w:szCs w:val="21"/>
        </w:rPr>
      </w:pPr>
      <w:r w:rsidRPr="00677A64">
        <w:rPr>
          <w:sz w:val="21"/>
          <w:szCs w:val="21"/>
        </w:rPr>
        <w:t xml:space="preserve">If the partner wishes to continue the process as is after the </w:t>
      </w:r>
      <w:r w:rsidR="0057229C">
        <w:rPr>
          <w:sz w:val="21"/>
          <w:szCs w:val="21"/>
        </w:rPr>
        <w:t>5</w:t>
      </w:r>
      <w:r w:rsidRPr="00677A64">
        <w:rPr>
          <w:sz w:val="21"/>
          <w:szCs w:val="21"/>
        </w:rPr>
        <w:t xml:space="preserve">-year period ends, Cycling Scotland would require a fee to </w:t>
      </w:r>
      <w:r w:rsidR="005133D1" w:rsidRPr="00677A64">
        <w:rPr>
          <w:sz w:val="21"/>
          <w:szCs w:val="21"/>
        </w:rPr>
        <w:t xml:space="preserve">help </w:t>
      </w:r>
      <w:r w:rsidRPr="00677A64">
        <w:rPr>
          <w:sz w:val="21"/>
          <w:szCs w:val="21"/>
        </w:rPr>
        <w:t>cover ongoing maintenance and data collection from the asset. If the partner does not wish to continue with the asset it will be taken back into possession by Cycling Scotland.</w:t>
      </w:r>
    </w:p>
    <w:p w14:paraId="5D30AB10" w14:textId="77777777" w:rsidR="00B77E63" w:rsidRPr="00677A64" w:rsidRDefault="00B77E63" w:rsidP="00B77E63">
      <w:pPr>
        <w:rPr>
          <w:sz w:val="21"/>
          <w:szCs w:val="21"/>
          <w:u w:val="single"/>
        </w:rPr>
      </w:pPr>
      <w:r w:rsidRPr="00677A64">
        <w:rPr>
          <w:sz w:val="21"/>
          <w:szCs w:val="21"/>
          <w:u w:val="single"/>
        </w:rPr>
        <w:t xml:space="preserve">Who will handle, receive and </w:t>
      </w:r>
      <w:r w:rsidRPr="00796201">
        <w:rPr>
          <w:sz w:val="21"/>
          <w:szCs w:val="21"/>
          <w:u w:val="single"/>
        </w:rPr>
        <w:t>organise</w:t>
      </w:r>
      <w:r w:rsidRPr="00677A64">
        <w:rPr>
          <w:sz w:val="21"/>
          <w:szCs w:val="21"/>
          <w:u w:val="single"/>
        </w:rPr>
        <w:t xml:space="preserve"> any data gained through this programme?</w:t>
      </w:r>
    </w:p>
    <w:p w14:paraId="2F1F658C" w14:textId="63BF383F" w:rsidR="00B77E63" w:rsidRPr="00677A64" w:rsidRDefault="00B77E63" w:rsidP="00B77E63">
      <w:pPr>
        <w:rPr>
          <w:sz w:val="21"/>
          <w:szCs w:val="21"/>
        </w:rPr>
      </w:pPr>
      <w:r w:rsidRPr="00677A64">
        <w:rPr>
          <w:sz w:val="21"/>
          <w:szCs w:val="21"/>
        </w:rPr>
        <w:t xml:space="preserve">Cycling Scotland will </w:t>
      </w:r>
      <w:r w:rsidR="005133D1" w:rsidRPr="00677A64">
        <w:rPr>
          <w:sz w:val="21"/>
          <w:szCs w:val="21"/>
        </w:rPr>
        <w:t xml:space="preserve">receive the data, convert it to a format readable by all and </w:t>
      </w:r>
      <w:r w:rsidRPr="00677A64">
        <w:rPr>
          <w:sz w:val="21"/>
          <w:szCs w:val="21"/>
        </w:rPr>
        <w:t>pass</w:t>
      </w:r>
      <w:r w:rsidR="005133D1" w:rsidRPr="00677A64">
        <w:rPr>
          <w:sz w:val="21"/>
          <w:szCs w:val="21"/>
        </w:rPr>
        <w:t xml:space="preserve"> it</w:t>
      </w:r>
      <w:r w:rsidRPr="00677A64">
        <w:rPr>
          <w:sz w:val="21"/>
          <w:szCs w:val="21"/>
        </w:rPr>
        <w:t xml:space="preserve"> on to the partner</w:t>
      </w:r>
      <w:r w:rsidR="00172CB5">
        <w:rPr>
          <w:sz w:val="21"/>
          <w:szCs w:val="21"/>
        </w:rPr>
        <w:t xml:space="preserve"> at timings to be agreed</w:t>
      </w:r>
      <w:r w:rsidRPr="00677A64">
        <w:rPr>
          <w:sz w:val="21"/>
          <w:szCs w:val="21"/>
        </w:rPr>
        <w:t xml:space="preserve">. Cycling Scotland aim to take an open data approach to the results and the end goal is to have a central hub of </w:t>
      </w:r>
      <w:r w:rsidR="005133D1" w:rsidRPr="00677A64">
        <w:rPr>
          <w:sz w:val="21"/>
          <w:szCs w:val="21"/>
        </w:rPr>
        <w:t xml:space="preserve">cycling mode share </w:t>
      </w:r>
      <w:r w:rsidRPr="00677A64">
        <w:rPr>
          <w:sz w:val="21"/>
          <w:szCs w:val="21"/>
        </w:rPr>
        <w:t>monitoring data, open to the public, which covers the whole of Scotland.</w:t>
      </w:r>
      <w:r w:rsidR="0021118C">
        <w:rPr>
          <w:sz w:val="21"/>
          <w:szCs w:val="21"/>
        </w:rPr>
        <w:t xml:space="preserve">  Cycling Scotland will also work with other key partners in connecting to </w:t>
      </w:r>
      <w:r w:rsidR="008524DC">
        <w:rPr>
          <w:sz w:val="21"/>
          <w:szCs w:val="21"/>
        </w:rPr>
        <w:t xml:space="preserve">and complementing </w:t>
      </w:r>
      <w:r w:rsidR="0021118C">
        <w:rPr>
          <w:sz w:val="21"/>
          <w:szCs w:val="21"/>
        </w:rPr>
        <w:t>other data collection methods.</w:t>
      </w:r>
    </w:p>
    <w:p w14:paraId="62877271" w14:textId="77777777" w:rsidR="00B77E63" w:rsidRPr="00677A64" w:rsidRDefault="00B77E63" w:rsidP="00B77E63">
      <w:pPr>
        <w:rPr>
          <w:sz w:val="21"/>
          <w:szCs w:val="21"/>
          <w:u w:val="single"/>
        </w:rPr>
      </w:pPr>
      <w:r w:rsidRPr="00677A64">
        <w:rPr>
          <w:sz w:val="21"/>
          <w:szCs w:val="21"/>
          <w:u w:val="single"/>
        </w:rPr>
        <w:t>Do we need any specific IT requirements in place to take part in the project?</w:t>
      </w:r>
    </w:p>
    <w:p w14:paraId="013E36F1" w14:textId="0BDAFE26" w:rsidR="00B77E63" w:rsidRPr="00677A64" w:rsidRDefault="00B77E63" w:rsidP="00B77E63">
      <w:pPr>
        <w:rPr>
          <w:sz w:val="21"/>
          <w:szCs w:val="21"/>
        </w:rPr>
      </w:pPr>
      <w:r w:rsidRPr="00677A64">
        <w:rPr>
          <w:sz w:val="21"/>
          <w:szCs w:val="21"/>
        </w:rPr>
        <w:t xml:space="preserve">No specific IT requirements will be needed to receive data gained from this project. </w:t>
      </w:r>
      <w:r w:rsidR="005133D1" w:rsidRPr="00677A64">
        <w:rPr>
          <w:sz w:val="21"/>
          <w:szCs w:val="21"/>
        </w:rPr>
        <w:t>I</w:t>
      </w:r>
      <w:r w:rsidRPr="00677A64">
        <w:rPr>
          <w:sz w:val="21"/>
          <w:szCs w:val="21"/>
        </w:rPr>
        <w:t xml:space="preserve">f your organisation uses GIS </w:t>
      </w:r>
      <w:proofErr w:type="gramStart"/>
      <w:r w:rsidRPr="00677A64">
        <w:rPr>
          <w:sz w:val="21"/>
          <w:szCs w:val="21"/>
        </w:rPr>
        <w:t>software</w:t>
      </w:r>
      <w:proofErr w:type="gramEnd"/>
      <w:r w:rsidRPr="00677A64">
        <w:rPr>
          <w:sz w:val="21"/>
          <w:szCs w:val="21"/>
        </w:rPr>
        <w:t xml:space="preserve"> there is a possibility for data to also be provided in shapefile format.</w:t>
      </w:r>
    </w:p>
    <w:p w14:paraId="4ACE5F84" w14:textId="77777777" w:rsidR="00B77E63" w:rsidRPr="00677A64" w:rsidRDefault="00B77E63" w:rsidP="00B77E63">
      <w:pPr>
        <w:rPr>
          <w:sz w:val="21"/>
          <w:szCs w:val="21"/>
          <w:u w:val="single"/>
        </w:rPr>
      </w:pPr>
      <w:r w:rsidRPr="00677A64">
        <w:rPr>
          <w:sz w:val="21"/>
          <w:szCs w:val="21"/>
          <w:u w:val="single"/>
        </w:rPr>
        <w:t>Who will organise/submit any planning applications, should be required?</w:t>
      </w:r>
    </w:p>
    <w:p w14:paraId="6A332BFC" w14:textId="239DE58A" w:rsidR="00B77E63" w:rsidRDefault="00B77E63" w:rsidP="00B77E63">
      <w:pPr>
        <w:rPr>
          <w:sz w:val="21"/>
          <w:szCs w:val="21"/>
        </w:rPr>
      </w:pPr>
      <w:r w:rsidRPr="00677A64">
        <w:rPr>
          <w:sz w:val="21"/>
          <w:szCs w:val="21"/>
        </w:rPr>
        <w:t>It is intended that any planning applications</w:t>
      </w:r>
      <w:r w:rsidR="00172CB5">
        <w:rPr>
          <w:sz w:val="21"/>
          <w:szCs w:val="21"/>
        </w:rPr>
        <w:t xml:space="preserve"> or permissions</w:t>
      </w:r>
      <w:r w:rsidRPr="00677A64">
        <w:rPr>
          <w:sz w:val="21"/>
          <w:szCs w:val="21"/>
        </w:rPr>
        <w:t xml:space="preserve"> would be </w:t>
      </w:r>
      <w:r w:rsidR="00EF4326">
        <w:rPr>
          <w:sz w:val="21"/>
          <w:szCs w:val="21"/>
        </w:rPr>
        <w:t xml:space="preserve">organised and submitted </w:t>
      </w:r>
      <w:r w:rsidR="00172CB5">
        <w:rPr>
          <w:sz w:val="21"/>
          <w:szCs w:val="21"/>
        </w:rPr>
        <w:t>by the</w:t>
      </w:r>
      <w:r w:rsidRPr="00677A64">
        <w:rPr>
          <w:sz w:val="21"/>
          <w:szCs w:val="21"/>
        </w:rPr>
        <w:t xml:space="preserve"> appointed </w:t>
      </w:r>
      <w:r w:rsidR="00172CB5">
        <w:rPr>
          <w:sz w:val="21"/>
          <w:szCs w:val="21"/>
        </w:rPr>
        <w:t>delivery partners. Partners would be encouraged to make relevant colleagues aware and provide contact information.</w:t>
      </w:r>
    </w:p>
    <w:p w14:paraId="4A2357FC" w14:textId="44CF5AA4" w:rsidR="001774BD" w:rsidRDefault="001774BD" w:rsidP="00B77E63">
      <w:pPr>
        <w:rPr>
          <w:sz w:val="21"/>
          <w:szCs w:val="21"/>
        </w:rPr>
      </w:pPr>
    </w:p>
    <w:p w14:paraId="482B5077" w14:textId="77777777" w:rsidR="00B77E63" w:rsidRPr="00115EDD" w:rsidRDefault="00B77E63" w:rsidP="00B77E63">
      <w:pPr>
        <w:rPr>
          <w:sz w:val="21"/>
          <w:szCs w:val="21"/>
          <w:u w:val="single"/>
        </w:rPr>
      </w:pPr>
      <w:r w:rsidRPr="00115EDD">
        <w:rPr>
          <w:sz w:val="21"/>
          <w:szCs w:val="21"/>
          <w:u w:val="single"/>
        </w:rPr>
        <w:lastRenderedPageBreak/>
        <w:t>Is there any cost to participating in the project? If so, when are they likely to be required?</w:t>
      </w:r>
    </w:p>
    <w:p w14:paraId="25CDD3D4" w14:textId="2B59885B" w:rsidR="00B30AB3" w:rsidRDefault="00B30AB3" w:rsidP="00B77E63">
      <w:pPr>
        <w:rPr>
          <w:sz w:val="21"/>
          <w:szCs w:val="21"/>
        </w:rPr>
      </w:pPr>
      <w:proofErr w:type="gramStart"/>
      <w:r>
        <w:rPr>
          <w:sz w:val="21"/>
          <w:szCs w:val="21"/>
        </w:rPr>
        <w:t>In order to</w:t>
      </w:r>
      <w:proofErr w:type="gramEnd"/>
      <w:r>
        <w:rPr>
          <w:sz w:val="21"/>
          <w:szCs w:val="21"/>
        </w:rPr>
        <w:t xml:space="preserve"> </w:t>
      </w:r>
      <w:r w:rsidRPr="00796201">
        <w:rPr>
          <w:sz w:val="21"/>
          <w:szCs w:val="21"/>
        </w:rPr>
        <w:t>maximise</w:t>
      </w:r>
      <w:r>
        <w:rPr>
          <w:sz w:val="21"/>
          <w:szCs w:val="21"/>
        </w:rPr>
        <w:t xml:space="preserve"> the reach of the National Monitoring Framework and depending on demand, the costs from this project may be partially match funded by the partner.  It should be noted that match funding is not a requirement for partners and any match funding would be payable in Q</w:t>
      </w:r>
      <w:r w:rsidR="005F64B6">
        <w:rPr>
          <w:sz w:val="21"/>
          <w:szCs w:val="21"/>
        </w:rPr>
        <w:t>1</w:t>
      </w:r>
      <w:r>
        <w:rPr>
          <w:sz w:val="21"/>
          <w:szCs w:val="21"/>
        </w:rPr>
        <w:t>, 201</w:t>
      </w:r>
      <w:r w:rsidR="005F64B6">
        <w:rPr>
          <w:sz w:val="21"/>
          <w:szCs w:val="21"/>
        </w:rPr>
        <w:t>8</w:t>
      </w:r>
      <w:r>
        <w:rPr>
          <w:sz w:val="21"/>
          <w:szCs w:val="21"/>
        </w:rPr>
        <w:t>/1</w:t>
      </w:r>
      <w:r w:rsidR="005F64B6">
        <w:rPr>
          <w:sz w:val="21"/>
          <w:szCs w:val="21"/>
        </w:rPr>
        <w:t>9</w:t>
      </w:r>
      <w:r>
        <w:rPr>
          <w:sz w:val="21"/>
          <w:szCs w:val="21"/>
        </w:rPr>
        <w:t xml:space="preserve">. Is should also be noted that an Expression of Interest does not commit you to this match funding and you can get in touch with Cycling Scotland if you wish to discuss further. </w:t>
      </w:r>
    </w:p>
    <w:p w14:paraId="40BAD0FA" w14:textId="1384B85F" w:rsidR="00B77E63" w:rsidRPr="00115EDD" w:rsidRDefault="00677A64" w:rsidP="00B77E63">
      <w:pPr>
        <w:rPr>
          <w:sz w:val="21"/>
          <w:szCs w:val="21"/>
        </w:rPr>
      </w:pPr>
      <w:r w:rsidRPr="00115EDD">
        <w:rPr>
          <w:sz w:val="21"/>
          <w:szCs w:val="21"/>
        </w:rPr>
        <w:t>Should the project require considerable additional staff resources</w:t>
      </w:r>
      <w:r w:rsidR="008524DC">
        <w:rPr>
          <w:sz w:val="21"/>
          <w:szCs w:val="21"/>
        </w:rPr>
        <w:t xml:space="preserve"> from Cycling Scotland and its delivery partners</w:t>
      </w:r>
      <w:r w:rsidRPr="00115EDD">
        <w:rPr>
          <w:sz w:val="21"/>
          <w:szCs w:val="21"/>
        </w:rPr>
        <w:t>, there may be an additional small fee.</w:t>
      </w:r>
    </w:p>
    <w:p w14:paraId="58A303D4" w14:textId="7B859329" w:rsidR="001774BD" w:rsidRPr="00115EDD" w:rsidRDefault="00916568" w:rsidP="00B77E63">
      <w:pPr>
        <w:rPr>
          <w:sz w:val="21"/>
          <w:szCs w:val="21"/>
          <w:u w:val="single"/>
        </w:rPr>
      </w:pPr>
      <w:r>
        <w:rPr>
          <w:sz w:val="21"/>
          <w:szCs w:val="21"/>
          <w:u w:val="single"/>
        </w:rPr>
        <w:t>What if demand exceeds the available budget</w:t>
      </w:r>
      <w:r w:rsidR="001774BD" w:rsidRPr="00115EDD">
        <w:rPr>
          <w:sz w:val="21"/>
          <w:szCs w:val="21"/>
          <w:u w:val="single"/>
        </w:rPr>
        <w:t>?</w:t>
      </w:r>
    </w:p>
    <w:p w14:paraId="12D13B85" w14:textId="47782F76" w:rsidR="001774BD" w:rsidRDefault="00B51C6A" w:rsidP="00B77E63">
      <w:pPr>
        <w:rPr>
          <w:sz w:val="21"/>
          <w:szCs w:val="21"/>
        </w:rPr>
      </w:pPr>
      <w:r>
        <w:rPr>
          <w:sz w:val="21"/>
          <w:szCs w:val="21"/>
        </w:rPr>
        <w:t xml:space="preserve">Cycling Scotland have systems in place to manage a portfolio of grants and awards programmes which can cope with over demand. In the event of oversubscription to the National Monitoring Framework, Cycling Scotland will </w:t>
      </w:r>
      <w:proofErr w:type="gramStart"/>
      <w:r>
        <w:rPr>
          <w:sz w:val="21"/>
          <w:szCs w:val="21"/>
        </w:rPr>
        <w:t>take into account</w:t>
      </w:r>
      <w:proofErr w:type="gramEnd"/>
      <w:r>
        <w:rPr>
          <w:sz w:val="21"/>
          <w:szCs w:val="21"/>
        </w:rPr>
        <w:t xml:space="preserve"> the match funding and/or ‘in kind’ value that can be offered </w:t>
      </w:r>
      <w:r w:rsidR="00696F60">
        <w:rPr>
          <w:sz w:val="21"/>
          <w:szCs w:val="21"/>
        </w:rPr>
        <w:t xml:space="preserve">by partners. </w:t>
      </w:r>
    </w:p>
    <w:p w14:paraId="68C1A419" w14:textId="111B3FD8" w:rsidR="00916568" w:rsidRDefault="00916568" w:rsidP="00B77E63">
      <w:pPr>
        <w:rPr>
          <w:sz w:val="21"/>
          <w:szCs w:val="21"/>
          <w:u w:val="single"/>
        </w:rPr>
      </w:pPr>
      <w:r w:rsidRPr="00916568">
        <w:rPr>
          <w:sz w:val="21"/>
          <w:szCs w:val="21"/>
          <w:u w:val="single"/>
        </w:rPr>
        <w:t>What if we have counters in place?</w:t>
      </w:r>
    </w:p>
    <w:p w14:paraId="5D6CF53E" w14:textId="0D313AB2" w:rsidR="00916568" w:rsidRPr="00916568" w:rsidRDefault="00916568" w:rsidP="00B77E63">
      <w:pPr>
        <w:rPr>
          <w:sz w:val="21"/>
          <w:szCs w:val="21"/>
          <w:u w:val="single"/>
        </w:rPr>
      </w:pPr>
      <w:r>
        <w:rPr>
          <w:sz w:val="21"/>
          <w:szCs w:val="21"/>
        </w:rPr>
        <w:t>The aim of the national Monitoring Framework is to create a robust, objective data source, creating an open data source which measures progress on the Cycling Action Plan for Scotland across Scotland. This should complement other essential monitoring initiatives, such as National Cycling Network monitoring, Community Links or Smarter Choices Smarter Places project monitoring or Bike Life reports. We are also ensuring that, through management contracts, the major barriers of data collection and maintenance of counters are resolved for local authorities and regional transport partnerships.</w:t>
      </w:r>
    </w:p>
    <w:sectPr w:rsidR="00916568" w:rsidRPr="0091656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37B70" w14:textId="77777777" w:rsidR="00110A25" w:rsidRDefault="00110A25">
      <w:r>
        <w:separator/>
      </w:r>
    </w:p>
    <w:p w14:paraId="74E35FC3" w14:textId="77777777" w:rsidR="00110A25" w:rsidRDefault="00110A25"/>
  </w:endnote>
  <w:endnote w:type="continuationSeparator" w:id="0">
    <w:p w14:paraId="3E7BD219" w14:textId="77777777" w:rsidR="00110A25" w:rsidRDefault="00110A25">
      <w:r>
        <w:continuationSeparator/>
      </w:r>
    </w:p>
    <w:p w14:paraId="2F37D1C4" w14:textId="77777777" w:rsidR="00110A25" w:rsidRDefault="00110A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E6304" w14:textId="5645E454" w:rsidR="004F7358" w:rsidRDefault="004F7358">
    <w:pPr>
      <w:pStyle w:val="Footer"/>
    </w:pPr>
    <w:r>
      <w:t xml:space="preserve">Page </w:t>
    </w:r>
    <w:r>
      <w:fldChar w:fldCharType="begin"/>
    </w:r>
    <w:r>
      <w:instrText xml:space="preserve"> PAGE  \* Arabic  \* MERGEFORMAT </w:instrText>
    </w:r>
    <w:r>
      <w:fldChar w:fldCharType="separate"/>
    </w:r>
    <w:r w:rsidR="00EE079C">
      <w:rPr>
        <w:noProof/>
      </w:rPr>
      <w:t>1</w:t>
    </w:r>
    <w:r>
      <w:fldChar w:fldCharType="end"/>
    </w:r>
    <w:r>
      <w:t xml:space="preserve"> of </w:t>
    </w:r>
    <w:fldSimple w:instr=" NUMPAGES  \* Arabic  \* MERGEFORMAT ">
      <w:r w:rsidR="00EE079C">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C2385" w14:textId="77777777" w:rsidR="00110A25" w:rsidRDefault="00110A25">
      <w:r>
        <w:separator/>
      </w:r>
    </w:p>
    <w:p w14:paraId="7BBB854C" w14:textId="77777777" w:rsidR="00110A25" w:rsidRDefault="00110A25"/>
  </w:footnote>
  <w:footnote w:type="continuationSeparator" w:id="0">
    <w:p w14:paraId="6251D650" w14:textId="77777777" w:rsidR="00110A25" w:rsidRDefault="00110A25">
      <w:r>
        <w:continuationSeparator/>
      </w:r>
    </w:p>
    <w:p w14:paraId="7897A801" w14:textId="77777777" w:rsidR="00110A25" w:rsidRDefault="00110A25"/>
  </w:footnote>
  <w:footnote w:id="1">
    <w:p w14:paraId="58DB50E5" w14:textId="141020C5" w:rsidR="00B06F71" w:rsidRPr="00B06F71" w:rsidRDefault="00B06F71">
      <w:pPr>
        <w:pStyle w:val="FootnoteText"/>
      </w:pPr>
      <w:r>
        <w:rPr>
          <w:rStyle w:val="FootnoteReference"/>
        </w:rPr>
        <w:footnoteRef/>
      </w:r>
      <w:r>
        <w:t xml:space="preserve"> </w:t>
      </w:r>
      <w:r w:rsidRPr="00CA589A">
        <w:t>This is building on previous successful round</w:t>
      </w:r>
      <w:r w:rsidR="0078564E">
        <w:t>s</w:t>
      </w:r>
      <w:r w:rsidRPr="00CA589A">
        <w:t xml:space="preserve"> of the National Monitoring Framework, where we delivered a network of Automatic Cycle Counters and Temporary Counts across several Local Authority areas – this process was entirely managed by Cycling Scotland and its contractors and it was funded by Transport Scotland</w:t>
      </w:r>
    </w:p>
  </w:footnote>
  <w:footnote w:id="2">
    <w:p w14:paraId="64F598B9" w14:textId="0BC2DDB1" w:rsidR="00B06F71" w:rsidRPr="00B06F71" w:rsidRDefault="00B06F71">
      <w:pPr>
        <w:pStyle w:val="FootnoteText"/>
      </w:pPr>
      <w:r>
        <w:rPr>
          <w:rStyle w:val="FootnoteReference"/>
        </w:rPr>
        <w:footnoteRef/>
      </w:r>
      <w:r>
        <w:t xml:space="preserve"> </w:t>
      </w:r>
      <w:r w:rsidRPr="00E47B27">
        <w:t xml:space="preserve">Walking data will be </w:t>
      </w:r>
      <w:r>
        <w:t>captured</w:t>
      </w:r>
      <w:r w:rsidRPr="00E47B27">
        <w:t xml:space="preserve"> wherever available from the same data source to support implementation of the National Walking Strategy.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8351B"/>
    <w:multiLevelType w:val="hybridMultilevel"/>
    <w:tmpl w:val="1D1C3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9463C0"/>
    <w:multiLevelType w:val="hybridMultilevel"/>
    <w:tmpl w:val="308841DE"/>
    <w:lvl w:ilvl="0" w:tplc="549442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1FF"/>
    <w:rsid w:val="00043FC0"/>
    <w:rsid w:val="0006378E"/>
    <w:rsid w:val="000A4050"/>
    <w:rsid w:val="000F0824"/>
    <w:rsid w:val="001059C5"/>
    <w:rsid w:val="00110A25"/>
    <w:rsid w:val="00115EDD"/>
    <w:rsid w:val="00126834"/>
    <w:rsid w:val="00144244"/>
    <w:rsid w:val="0016260A"/>
    <w:rsid w:val="00172CB5"/>
    <w:rsid w:val="001774BD"/>
    <w:rsid w:val="001C36C6"/>
    <w:rsid w:val="001D7937"/>
    <w:rsid w:val="0021118C"/>
    <w:rsid w:val="00275282"/>
    <w:rsid w:val="00393764"/>
    <w:rsid w:val="003D4A4E"/>
    <w:rsid w:val="003F305F"/>
    <w:rsid w:val="00426F26"/>
    <w:rsid w:val="004B5C3D"/>
    <w:rsid w:val="004D2165"/>
    <w:rsid w:val="004F7358"/>
    <w:rsid w:val="005031FF"/>
    <w:rsid w:val="00503AC9"/>
    <w:rsid w:val="005133D1"/>
    <w:rsid w:val="0057229C"/>
    <w:rsid w:val="00590965"/>
    <w:rsid w:val="005F64B6"/>
    <w:rsid w:val="00632C6E"/>
    <w:rsid w:val="00643E1C"/>
    <w:rsid w:val="00677A64"/>
    <w:rsid w:val="00696F60"/>
    <w:rsid w:val="00700159"/>
    <w:rsid w:val="007029E7"/>
    <w:rsid w:val="0070380E"/>
    <w:rsid w:val="00743D4E"/>
    <w:rsid w:val="0078564E"/>
    <w:rsid w:val="00794B67"/>
    <w:rsid w:val="00796201"/>
    <w:rsid w:val="007E5D56"/>
    <w:rsid w:val="0081257C"/>
    <w:rsid w:val="008524DC"/>
    <w:rsid w:val="008E4A17"/>
    <w:rsid w:val="00916568"/>
    <w:rsid w:val="009B31BF"/>
    <w:rsid w:val="00A456F4"/>
    <w:rsid w:val="00AD3891"/>
    <w:rsid w:val="00B06F71"/>
    <w:rsid w:val="00B30AB3"/>
    <w:rsid w:val="00B40B95"/>
    <w:rsid w:val="00B469F5"/>
    <w:rsid w:val="00B51C6A"/>
    <w:rsid w:val="00B77E63"/>
    <w:rsid w:val="00B916A3"/>
    <w:rsid w:val="00BC0EDE"/>
    <w:rsid w:val="00C36174"/>
    <w:rsid w:val="00CA21E4"/>
    <w:rsid w:val="00CC1D1F"/>
    <w:rsid w:val="00CD67AD"/>
    <w:rsid w:val="00D050E0"/>
    <w:rsid w:val="00D85A34"/>
    <w:rsid w:val="00DA1F59"/>
    <w:rsid w:val="00DD17C5"/>
    <w:rsid w:val="00E06A99"/>
    <w:rsid w:val="00E32615"/>
    <w:rsid w:val="00E43304"/>
    <w:rsid w:val="00E55307"/>
    <w:rsid w:val="00E70735"/>
    <w:rsid w:val="00EE079C"/>
    <w:rsid w:val="00EF4326"/>
    <w:rsid w:val="00F7469C"/>
    <w:rsid w:val="00FA0E54"/>
    <w:rsid w:val="00FF4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AB6D3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pPr>
    <w:rPr>
      <w:lang w:val="en-GB"/>
    </w:rPr>
  </w:style>
  <w:style w:type="paragraph" w:styleId="Heading1">
    <w:name w:val="heading 1"/>
    <w:basedOn w:val="Normal"/>
    <w:next w:val="Normal"/>
    <w:qFormat/>
    <w:pPr>
      <w:keepNext/>
      <w:keepLines/>
      <w:spacing w:before="240" w:after="0"/>
      <w:outlineLvl w:val="0"/>
    </w:pPr>
    <w:rPr>
      <w:rFonts w:asciiTheme="majorHAnsi" w:eastAsiaTheme="majorEastAsia" w:hAnsiTheme="majorHAnsi" w:cstheme="majorBidi"/>
      <w:b/>
      <w:bCs/>
      <w:color w:val="2E74B5" w:themeColor="accent1" w:themeShade="BF"/>
      <w:sz w:val="32"/>
      <w:szCs w:val="32"/>
    </w:rPr>
  </w:style>
  <w:style w:type="paragraph" w:styleId="Heading2">
    <w:name w:val="heading 2"/>
    <w:basedOn w:val="Normal"/>
    <w:next w:val="Normal"/>
    <w:unhideWhenUsed/>
    <w:qFormat/>
    <w:pPr>
      <w:keepNext/>
      <w:keepLines/>
      <w:pBdr>
        <w:top w:val="single" w:sz="6" w:space="1" w:color="1F4E79" w:themeColor="accent1" w:themeShade="80"/>
      </w:pBdr>
      <w:shd w:val="clear" w:color="auto" w:fill="D5DCE4" w:themeFill="text2" w:themeFillTint="33"/>
      <w:spacing w:before="240" w:after="240"/>
      <w:outlineLvl w:val="1"/>
    </w:pPr>
    <w:rPr>
      <w:rFonts w:asciiTheme="majorHAnsi" w:eastAsiaTheme="majorEastAsia" w:hAnsiTheme="majorHAnsi" w:cstheme="majorBidi"/>
      <w:b/>
      <w:bCs/>
      <w:color w:val="1F4E79" w:themeColor="accent1" w:themeShade="80"/>
      <w:sz w:val="26"/>
      <w:szCs w:val="26"/>
    </w:rPr>
  </w:style>
  <w:style w:type="paragraph" w:styleId="Heading3">
    <w:name w:val="heading 3"/>
    <w:basedOn w:val="Normal"/>
    <w:next w:val="Normal"/>
    <w:unhideWhenUsed/>
    <w:qFormat/>
    <w:pPr>
      <w:keepNext/>
      <w:keepLines/>
      <w:pBdr>
        <w:top w:val="single" w:sz="2" w:space="1" w:color="7F7F7F" w:themeColor="text1" w:themeTint="80"/>
      </w:pBd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nhideWhenUsed/>
    <w:qFormat/>
    <w:pPr>
      <w:spacing w:after="0" w:line="240" w:lineRule="auto"/>
      <w:contextualSpacing/>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styleId="Footer">
    <w:name w:val="footer"/>
    <w:basedOn w:val="Normal"/>
    <w:link w:val="FooterChar"/>
    <w:uiPriority w:val="99"/>
    <w:unhideWhenUsed/>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customStyle="1" w:styleId="Multiplechoice3">
    <w:name w:val="Multiple choice | 3"/>
    <w:basedOn w:val="Normal"/>
    <w:qFormat/>
    <w:pPr>
      <w:tabs>
        <w:tab w:val="left" w:pos="3600"/>
        <w:tab w:val="left" w:pos="7200"/>
      </w:tabs>
      <w:contextualSpacing/>
    </w:pPr>
  </w:style>
  <w:style w:type="paragraph" w:customStyle="1" w:styleId="Multiplechoice4">
    <w:name w:val="Multiple choice | 4"/>
    <w:basedOn w:val="Normal"/>
    <w:qFormat/>
    <w:pPr>
      <w:tabs>
        <w:tab w:val="left" w:pos="2700"/>
        <w:tab w:val="left" w:pos="5391"/>
        <w:tab w:val="left" w:pos="8091"/>
      </w:tabs>
      <w:contextualSpacing/>
    </w:pPr>
  </w:style>
  <w:style w:type="paragraph" w:styleId="ListParagraph">
    <w:name w:val="List Paragraph"/>
    <w:basedOn w:val="Normal"/>
    <w:uiPriority w:val="34"/>
    <w:unhideWhenUsed/>
    <w:qFormat/>
    <w:rsid w:val="00AD3891"/>
    <w:pPr>
      <w:ind w:left="720"/>
      <w:contextualSpacing/>
    </w:pPr>
  </w:style>
  <w:style w:type="paragraph" w:styleId="BalloonText">
    <w:name w:val="Balloon Text"/>
    <w:basedOn w:val="Normal"/>
    <w:link w:val="BalloonTextChar"/>
    <w:uiPriority w:val="99"/>
    <w:semiHidden/>
    <w:unhideWhenUsed/>
    <w:rsid w:val="009B31B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1BF"/>
    <w:rPr>
      <w:rFonts w:ascii="Segoe UI" w:hAnsi="Segoe UI" w:cs="Segoe UI"/>
      <w:sz w:val="18"/>
      <w:szCs w:val="18"/>
    </w:rPr>
  </w:style>
  <w:style w:type="paragraph" w:styleId="Header">
    <w:name w:val="header"/>
    <w:basedOn w:val="Normal"/>
    <w:link w:val="HeaderChar"/>
    <w:uiPriority w:val="99"/>
    <w:unhideWhenUsed/>
    <w:rsid w:val="00FF4EE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F4EE4"/>
  </w:style>
  <w:style w:type="character" w:styleId="CommentReference">
    <w:name w:val="annotation reference"/>
    <w:basedOn w:val="DefaultParagraphFont"/>
    <w:uiPriority w:val="99"/>
    <w:semiHidden/>
    <w:unhideWhenUsed/>
    <w:rsid w:val="000F0824"/>
    <w:rPr>
      <w:sz w:val="16"/>
      <w:szCs w:val="16"/>
    </w:rPr>
  </w:style>
  <w:style w:type="paragraph" w:styleId="CommentText">
    <w:name w:val="annotation text"/>
    <w:basedOn w:val="Normal"/>
    <w:link w:val="CommentTextChar"/>
    <w:uiPriority w:val="99"/>
    <w:semiHidden/>
    <w:unhideWhenUsed/>
    <w:rsid w:val="000F0824"/>
    <w:pPr>
      <w:spacing w:line="240" w:lineRule="auto"/>
    </w:pPr>
    <w:rPr>
      <w:sz w:val="20"/>
      <w:szCs w:val="20"/>
    </w:rPr>
  </w:style>
  <w:style w:type="character" w:customStyle="1" w:styleId="CommentTextChar">
    <w:name w:val="Comment Text Char"/>
    <w:basedOn w:val="DefaultParagraphFont"/>
    <w:link w:val="CommentText"/>
    <w:uiPriority w:val="99"/>
    <w:semiHidden/>
    <w:rsid w:val="000F0824"/>
    <w:rPr>
      <w:sz w:val="20"/>
      <w:szCs w:val="20"/>
    </w:rPr>
  </w:style>
  <w:style w:type="paragraph" w:styleId="CommentSubject">
    <w:name w:val="annotation subject"/>
    <w:basedOn w:val="CommentText"/>
    <w:next w:val="CommentText"/>
    <w:link w:val="CommentSubjectChar"/>
    <w:uiPriority w:val="99"/>
    <w:semiHidden/>
    <w:unhideWhenUsed/>
    <w:rsid w:val="000F0824"/>
    <w:rPr>
      <w:b/>
      <w:bCs/>
    </w:rPr>
  </w:style>
  <w:style w:type="character" w:customStyle="1" w:styleId="CommentSubjectChar">
    <w:name w:val="Comment Subject Char"/>
    <w:basedOn w:val="CommentTextChar"/>
    <w:link w:val="CommentSubject"/>
    <w:uiPriority w:val="99"/>
    <w:semiHidden/>
    <w:rsid w:val="000F0824"/>
    <w:rPr>
      <w:b/>
      <w:bCs/>
      <w:sz w:val="20"/>
      <w:szCs w:val="20"/>
    </w:rPr>
  </w:style>
  <w:style w:type="character" w:styleId="Hyperlink">
    <w:name w:val="Hyperlink"/>
    <w:basedOn w:val="DefaultParagraphFont"/>
    <w:uiPriority w:val="99"/>
    <w:unhideWhenUsed/>
    <w:rsid w:val="00DA1F59"/>
    <w:rPr>
      <w:color w:val="0563C1" w:themeColor="hyperlink"/>
      <w:u w:val="single"/>
    </w:rPr>
  </w:style>
  <w:style w:type="paragraph" w:styleId="FootnoteText">
    <w:name w:val="footnote text"/>
    <w:basedOn w:val="Normal"/>
    <w:link w:val="FootnoteTextChar"/>
    <w:uiPriority w:val="99"/>
    <w:semiHidden/>
    <w:unhideWhenUsed/>
    <w:rsid w:val="00B06F7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B06F71"/>
    <w:rPr>
      <w:sz w:val="20"/>
      <w:szCs w:val="20"/>
    </w:rPr>
  </w:style>
  <w:style w:type="character" w:styleId="FootnoteReference">
    <w:name w:val="footnote reference"/>
    <w:basedOn w:val="DefaultParagraphFont"/>
    <w:uiPriority w:val="99"/>
    <w:semiHidden/>
    <w:unhideWhenUsed/>
    <w:rsid w:val="00B06F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624733">
      <w:bodyDiv w:val="1"/>
      <w:marLeft w:val="0"/>
      <w:marRight w:val="0"/>
      <w:marTop w:val="0"/>
      <w:marBottom w:val="0"/>
      <w:divBdr>
        <w:top w:val="none" w:sz="0" w:space="0" w:color="auto"/>
        <w:left w:val="none" w:sz="0" w:space="0" w:color="auto"/>
        <w:bottom w:val="none" w:sz="0" w:space="0" w:color="auto"/>
        <w:right w:val="none" w:sz="0" w:space="0" w:color="auto"/>
      </w:divBdr>
    </w:div>
    <w:div w:id="81981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nitoring@cycling.scot"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sliep\AppData\Roaming\Microsoft\Templates\Medical%20practice%20survey.dotx" TargetMode="External"/></Relationships>
</file>

<file path=word/theme/theme1.xml><?xml version="1.0" encoding="utf-8"?>
<a:theme xmlns:a="http://schemas.openxmlformats.org/drawingml/2006/main" name="Medical practice survey">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C6218-82F5-46AC-AB33-5E7C7FAB1BD2}">
  <ds:schemaRefs>
    <ds:schemaRef ds:uri="http://schemas.microsoft.com/sharepoint/v3/contenttype/forms"/>
  </ds:schemaRefs>
</ds:datastoreItem>
</file>

<file path=customXml/itemProps2.xml><?xml version="1.0" encoding="utf-8"?>
<ds:datastoreItem xmlns:ds="http://schemas.openxmlformats.org/officeDocument/2006/customXml" ds:itemID="{4C73B00B-8694-4939-9972-21F27DF5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Medical practice survey</Template>
  <TotalTime>0</TotalTime>
  <Pages>7</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2018-03-28T14:32:00Z</dcterms:created>
  <dcterms:modified xsi:type="dcterms:W3CDTF">2018-03-28T14:32:00Z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TC039787209991</vt:lpwstr>
  </property>
</Properties>
</file>